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16D99" w14:textId="77777777" w:rsidR="00A5384F" w:rsidRPr="00A5384F" w:rsidRDefault="00A5384F" w:rsidP="00F00988">
      <w:pPr>
        <w:spacing w:after="120" w:line="240" w:lineRule="auto"/>
        <w:jc w:val="center"/>
        <w:rPr>
          <w:rFonts w:ascii="Verdana" w:hAnsi="Verdana" w:cs="Arial"/>
          <w:b/>
          <w:sz w:val="28"/>
        </w:rPr>
      </w:pPr>
      <w:r w:rsidRPr="00A5384F">
        <w:rPr>
          <w:rFonts w:ascii="Verdana" w:hAnsi="Verdana" w:cs="Arial"/>
          <w:b/>
          <w:sz w:val="28"/>
        </w:rPr>
        <w:t xml:space="preserve">MEDIA KEY MESSAGES </w:t>
      </w:r>
    </w:p>
    <w:p w14:paraId="4E5657F4" w14:textId="77777777" w:rsidR="00A45E23" w:rsidRDefault="002F35AB" w:rsidP="00F00988">
      <w:pPr>
        <w:spacing w:after="120" w:line="240" w:lineRule="auto"/>
        <w:jc w:val="center"/>
        <w:rPr>
          <w:rFonts w:ascii="Verdana" w:hAnsi="Verdana" w:cs="Arial"/>
          <w:b/>
        </w:rPr>
      </w:pPr>
      <w:r w:rsidRPr="002F35AB">
        <w:rPr>
          <w:rFonts w:ascii="Verdana" w:hAnsi="Verdana" w:cs="Arial"/>
          <w:b/>
        </w:rPr>
        <w:t xml:space="preserve">INNOCENTI REPORT CARD 13: FAIRNESS FOR CHILDREN </w:t>
      </w:r>
    </w:p>
    <w:p w14:paraId="61790F85" w14:textId="77777777" w:rsidR="002A26E7" w:rsidRDefault="002A26E7" w:rsidP="002F35AB">
      <w:pPr>
        <w:jc w:val="both"/>
        <w:rPr>
          <w:rFonts w:ascii="Verdana" w:hAnsi="Verdana" w:cs="Arial"/>
          <w:b/>
          <w:sz w:val="20"/>
          <w:szCs w:val="20"/>
        </w:rPr>
      </w:pPr>
    </w:p>
    <w:p w14:paraId="7C554006" w14:textId="77777777" w:rsidR="002F35AB" w:rsidRDefault="002F35AB" w:rsidP="002F35AB">
      <w:pPr>
        <w:jc w:val="both"/>
        <w:rPr>
          <w:rFonts w:ascii="Verdana" w:hAnsi="Verdana" w:cs="Arial"/>
          <w:b/>
          <w:sz w:val="20"/>
          <w:szCs w:val="20"/>
        </w:rPr>
      </w:pPr>
      <w:r>
        <w:rPr>
          <w:rFonts w:ascii="Verdana" w:hAnsi="Verdana" w:cs="Arial"/>
          <w:b/>
          <w:sz w:val="20"/>
          <w:szCs w:val="20"/>
        </w:rPr>
        <w:t>KEY MESSAGES</w:t>
      </w:r>
    </w:p>
    <w:p w14:paraId="6D8616CB" w14:textId="77777777" w:rsidR="0048423F" w:rsidRDefault="0048423F" w:rsidP="0070705F">
      <w:pPr>
        <w:numPr>
          <w:ilvl w:val="0"/>
          <w:numId w:val="1"/>
        </w:numPr>
        <w:spacing w:after="0" w:line="240" w:lineRule="auto"/>
        <w:jc w:val="both"/>
        <w:rPr>
          <w:rFonts w:ascii="Verdana" w:hAnsi="Verdana"/>
          <w:sz w:val="20"/>
          <w:szCs w:val="20"/>
        </w:rPr>
      </w:pPr>
      <w:r w:rsidRPr="0048423F">
        <w:rPr>
          <w:rFonts w:ascii="Verdana" w:hAnsi="Verdana"/>
          <w:sz w:val="20"/>
          <w:szCs w:val="20"/>
        </w:rPr>
        <w:t>R</w:t>
      </w:r>
      <w:r>
        <w:rPr>
          <w:rFonts w:ascii="Verdana" w:hAnsi="Verdana"/>
          <w:sz w:val="20"/>
          <w:szCs w:val="20"/>
        </w:rPr>
        <w:t xml:space="preserve">eport </w:t>
      </w:r>
      <w:r w:rsidRPr="0048423F">
        <w:rPr>
          <w:rFonts w:ascii="Verdana" w:hAnsi="Verdana"/>
          <w:sz w:val="20"/>
          <w:szCs w:val="20"/>
        </w:rPr>
        <w:t>C</w:t>
      </w:r>
      <w:r>
        <w:rPr>
          <w:rFonts w:ascii="Verdana" w:hAnsi="Verdana"/>
          <w:sz w:val="20"/>
          <w:szCs w:val="20"/>
        </w:rPr>
        <w:t xml:space="preserve">ard </w:t>
      </w:r>
      <w:r w:rsidRPr="0048423F">
        <w:rPr>
          <w:rFonts w:ascii="Verdana" w:hAnsi="Verdana"/>
          <w:sz w:val="20"/>
          <w:szCs w:val="20"/>
        </w:rPr>
        <w:t xml:space="preserve">13 </w:t>
      </w:r>
      <w:r w:rsidRPr="0048423F">
        <w:rPr>
          <w:rFonts w:ascii="Verdana" w:hAnsi="Verdana"/>
          <w:i/>
          <w:sz w:val="20"/>
          <w:szCs w:val="20"/>
        </w:rPr>
        <w:t xml:space="preserve">Fairness for Children: A league table of inequality in child well-being in rich countries </w:t>
      </w:r>
      <w:r w:rsidRPr="0048423F">
        <w:rPr>
          <w:rFonts w:ascii="Verdana" w:hAnsi="Verdana"/>
          <w:sz w:val="20"/>
          <w:szCs w:val="20"/>
        </w:rPr>
        <w:t xml:space="preserve">provides a detailed analysis of inequality in 41 high-income countries. </w:t>
      </w:r>
    </w:p>
    <w:p w14:paraId="4C256A3F" w14:textId="77777777" w:rsidR="0048423F" w:rsidRDefault="0048423F" w:rsidP="0048423F">
      <w:pPr>
        <w:spacing w:after="0" w:line="240" w:lineRule="auto"/>
        <w:ind w:left="720"/>
        <w:jc w:val="both"/>
        <w:rPr>
          <w:rFonts w:ascii="Verdana" w:hAnsi="Verdana"/>
          <w:sz w:val="20"/>
          <w:szCs w:val="20"/>
        </w:rPr>
      </w:pPr>
    </w:p>
    <w:p w14:paraId="5269E082" w14:textId="77777777" w:rsidR="0048423F" w:rsidRDefault="0048423F" w:rsidP="0070705F">
      <w:pPr>
        <w:numPr>
          <w:ilvl w:val="0"/>
          <w:numId w:val="1"/>
        </w:numPr>
        <w:spacing w:after="0" w:line="240" w:lineRule="auto"/>
        <w:jc w:val="both"/>
        <w:rPr>
          <w:rFonts w:ascii="Verdana" w:hAnsi="Verdana"/>
          <w:sz w:val="20"/>
          <w:szCs w:val="20"/>
        </w:rPr>
      </w:pPr>
      <w:r w:rsidRPr="0048423F">
        <w:rPr>
          <w:rFonts w:ascii="Verdana" w:hAnsi="Verdana"/>
          <w:sz w:val="20"/>
          <w:szCs w:val="20"/>
        </w:rPr>
        <w:t>The report focuses on gaps between children at the bottom and those in the middle. It aims to highlight how far children are falling behind in the dimensions of income, education, health, and life satisfaction.</w:t>
      </w:r>
    </w:p>
    <w:p w14:paraId="42D6AB1A" w14:textId="77777777" w:rsidR="0048423F" w:rsidRPr="0048423F" w:rsidRDefault="0048423F" w:rsidP="0048423F">
      <w:pPr>
        <w:spacing w:after="0" w:line="240" w:lineRule="auto"/>
        <w:ind w:left="720"/>
        <w:jc w:val="both"/>
        <w:rPr>
          <w:rFonts w:ascii="Verdana" w:hAnsi="Verdana"/>
          <w:sz w:val="20"/>
          <w:szCs w:val="20"/>
        </w:rPr>
      </w:pPr>
    </w:p>
    <w:p w14:paraId="406ED00C" w14:textId="77777777" w:rsidR="002F35AB" w:rsidRPr="0048423F" w:rsidRDefault="0048423F" w:rsidP="0070705F">
      <w:pPr>
        <w:numPr>
          <w:ilvl w:val="0"/>
          <w:numId w:val="1"/>
        </w:numPr>
        <w:spacing w:after="0" w:line="240" w:lineRule="auto"/>
        <w:jc w:val="both"/>
        <w:rPr>
          <w:rFonts w:ascii="Verdana" w:hAnsi="Verdana" w:cs="Arial"/>
          <w:i/>
          <w:sz w:val="20"/>
          <w:szCs w:val="20"/>
        </w:rPr>
      </w:pPr>
      <w:r w:rsidRPr="0048423F">
        <w:rPr>
          <w:rFonts w:ascii="Verdana" w:hAnsi="Verdana" w:cs="Arial"/>
          <w:sz w:val="20"/>
          <w:szCs w:val="20"/>
        </w:rPr>
        <w:t>The n</w:t>
      </w:r>
      <w:r>
        <w:rPr>
          <w:rFonts w:ascii="Verdana" w:hAnsi="Verdana" w:cs="Arial"/>
          <w:sz w:val="20"/>
          <w:szCs w:val="20"/>
        </w:rPr>
        <w:t xml:space="preserve">ew figures reveal </w:t>
      </w:r>
      <w:r w:rsidRPr="0048423F">
        <w:rPr>
          <w:rFonts w:ascii="Verdana" w:hAnsi="Verdana" w:cs="Arial"/>
          <w:sz w:val="20"/>
          <w:szCs w:val="20"/>
        </w:rPr>
        <w:t xml:space="preserve">rich countries </w:t>
      </w:r>
      <w:r>
        <w:rPr>
          <w:rFonts w:ascii="Verdana" w:hAnsi="Verdana" w:cs="Arial"/>
          <w:sz w:val="20"/>
          <w:szCs w:val="20"/>
        </w:rPr>
        <w:t>are failing</w:t>
      </w:r>
      <w:r w:rsidRPr="0048423F">
        <w:rPr>
          <w:rFonts w:ascii="Verdana" w:hAnsi="Verdana" w:cs="Arial"/>
          <w:sz w:val="20"/>
          <w:szCs w:val="20"/>
        </w:rPr>
        <w:t xml:space="preserve"> the bottom 10 per cent of children</w:t>
      </w:r>
      <w:r>
        <w:rPr>
          <w:rFonts w:ascii="Verdana" w:hAnsi="Verdana" w:cs="Arial"/>
          <w:sz w:val="20"/>
          <w:szCs w:val="20"/>
        </w:rPr>
        <w:t xml:space="preserve"> as</w:t>
      </w:r>
      <w:r w:rsidRPr="0048423F">
        <w:rPr>
          <w:rFonts w:ascii="Verdana" w:hAnsi="Verdana" w:cs="Arial"/>
          <w:sz w:val="20"/>
          <w:szCs w:val="20"/>
        </w:rPr>
        <w:t xml:space="preserve"> inequality among children gr</w:t>
      </w:r>
      <w:r>
        <w:rPr>
          <w:rFonts w:ascii="Verdana" w:hAnsi="Verdana" w:cs="Arial"/>
          <w:sz w:val="20"/>
          <w:szCs w:val="20"/>
        </w:rPr>
        <w:t>ows.</w:t>
      </w:r>
    </w:p>
    <w:p w14:paraId="763040C3" w14:textId="77777777" w:rsidR="002F35AB" w:rsidRPr="002F35AB" w:rsidRDefault="002F35AB" w:rsidP="002F35AB">
      <w:pPr>
        <w:pStyle w:val="ListParagraph"/>
        <w:rPr>
          <w:rFonts w:ascii="Verdana" w:hAnsi="Verdana" w:cs="Arial"/>
          <w:sz w:val="20"/>
          <w:szCs w:val="20"/>
        </w:rPr>
      </w:pPr>
    </w:p>
    <w:p w14:paraId="343161F7" w14:textId="77777777" w:rsidR="002F35AB" w:rsidRPr="002F35AB" w:rsidRDefault="002F35AB" w:rsidP="0070705F">
      <w:pPr>
        <w:pStyle w:val="ListParagraph"/>
        <w:numPr>
          <w:ilvl w:val="1"/>
          <w:numId w:val="1"/>
        </w:numPr>
        <w:spacing w:after="0" w:line="240" w:lineRule="auto"/>
        <w:jc w:val="both"/>
        <w:rPr>
          <w:rFonts w:ascii="Verdana" w:hAnsi="Verdana" w:cs="Arial"/>
          <w:i/>
          <w:sz w:val="20"/>
          <w:szCs w:val="20"/>
        </w:rPr>
      </w:pPr>
      <w:r>
        <w:rPr>
          <w:rFonts w:ascii="Verdana" w:hAnsi="Verdana" w:cs="Arial"/>
          <w:sz w:val="20"/>
          <w:szCs w:val="20"/>
        </w:rPr>
        <w:t>I</w:t>
      </w:r>
      <w:r w:rsidRPr="002F35AB">
        <w:rPr>
          <w:rFonts w:ascii="Verdana" w:hAnsi="Verdana" w:cs="Arial"/>
          <w:sz w:val="20"/>
          <w:szCs w:val="20"/>
        </w:rPr>
        <w:t>ncomes in households below the median have grown more slowly than those above it, fuelling increases in poverty and deprivation among children</w:t>
      </w:r>
      <w:r>
        <w:rPr>
          <w:rFonts w:ascii="Verdana" w:hAnsi="Verdana" w:cs="Arial"/>
          <w:sz w:val="20"/>
          <w:szCs w:val="20"/>
        </w:rPr>
        <w:t>.</w:t>
      </w:r>
    </w:p>
    <w:p w14:paraId="65881493" w14:textId="77777777" w:rsidR="002F35AB" w:rsidRPr="002F35AB" w:rsidRDefault="002F35AB" w:rsidP="002F35AB">
      <w:pPr>
        <w:spacing w:after="0" w:line="240" w:lineRule="auto"/>
        <w:jc w:val="both"/>
        <w:rPr>
          <w:rFonts w:ascii="Verdana" w:hAnsi="Verdana" w:cs="Arial"/>
          <w:sz w:val="20"/>
          <w:szCs w:val="20"/>
        </w:rPr>
      </w:pPr>
      <w:r w:rsidRPr="002F35AB">
        <w:rPr>
          <w:rFonts w:ascii="Verdana" w:hAnsi="Verdana" w:cs="Arial"/>
          <w:i/>
          <w:sz w:val="20"/>
          <w:szCs w:val="20"/>
        </w:rPr>
        <w:t xml:space="preserve"> </w:t>
      </w:r>
    </w:p>
    <w:p w14:paraId="308A2F0F" w14:textId="77777777" w:rsidR="002F35AB" w:rsidRDefault="002F35AB" w:rsidP="0070705F">
      <w:pPr>
        <w:numPr>
          <w:ilvl w:val="1"/>
          <w:numId w:val="1"/>
        </w:numPr>
        <w:spacing w:after="0" w:line="240" w:lineRule="auto"/>
        <w:jc w:val="both"/>
        <w:rPr>
          <w:rFonts w:ascii="Verdana" w:hAnsi="Verdana" w:cs="Arial"/>
          <w:sz w:val="20"/>
          <w:szCs w:val="20"/>
        </w:rPr>
      </w:pPr>
      <w:r w:rsidRPr="002F35AB">
        <w:rPr>
          <w:rFonts w:ascii="Verdana" w:hAnsi="Verdana" w:cs="Arial"/>
          <w:sz w:val="20"/>
          <w:szCs w:val="20"/>
        </w:rPr>
        <w:t xml:space="preserve">Inequality gaps in educational achievement have narrowed, yet inequality in health among children has widened across EU and OECD countries. </w:t>
      </w:r>
    </w:p>
    <w:p w14:paraId="403C1C41" w14:textId="77777777" w:rsidR="00C46DB7" w:rsidRPr="002F35AB" w:rsidRDefault="00C46DB7" w:rsidP="00C46DB7">
      <w:pPr>
        <w:spacing w:after="0" w:line="240" w:lineRule="auto"/>
        <w:jc w:val="both"/>
        <w:rPr>
          <w:rFonts w:ascii="Verdana" w:hAnsi="Verdana" w:cs="Arial"/>
          <w:sz w:val="20"/>
          <w:szCs w:val="20"/>
        </w:rPr>
      </w:pPr>
    </w:p>
    <w:p w14:paraId="5D14C03B" w14:textId="77777777" w:rsidR="002F35AB" w:rsidRPr="00C46DB7" w:rsidRDefault="002F35AB" w:rsidP="0070705F">
      <w:pPr>
        <w:numPr>
          <w:ilvl w:val="1"/>
          <w:numId w:val="1"/>
        </w:numPr>
        <w:spacing w:after="0" w:line="240" w:lineRule="auto"/>
        <w:jc w:val="both"/>
        <w:rPr>
          <w:rFonts w:ascii="Verdana" w:hAnsi="Verdana" w:cs="Arial"/>
          <w:sz w:val="20"/>
          <w:szCs w:val="20"/>
        </w:rPr>
      </w:pPr>
      <w:r w:rsidRPr="00C46DB7">
        <w:rPr>
          <w:rFonts w:ascii="Verdana" w:hAnsi="Verdana" w:cs="Arial"/>
          <w:sz w:val="20"/>
          <w:szCs w:val="20"/>
        </w:rPr>
        <w:t xml:space="preserve">Whilst inequality in life satisfaction remains relatively stable, migrant children suffer the poorest life satisfaction. </w:t>
      </w:r>
    </w:p>
    <w:p w14:paraId="001F7061" w14:textId="77777777" w:rsidR="00C46DB7" w:rsidRDefault="00C46DB7" w:rsidP="00C46DB7">
      <w:pPr>
        <w:pStyle w:val="ListParagraph"/>
        <w:spacing w:after="0" w:line="240" w:lineRule="auto"/>
        <w:jc w:val="both"/>
        <w:rPr>
          <w:rFonts w:ascii="Verdana" w:hAnsi="Verdana"/>
          <w:sz w:val="20"/>
          <w:szCs w:val="20"/>
        </w:rPr>
      </w:pPr>
    </w:p>
    <w:p w14:paraId="5126DDA7" w14:textId="77777777" w:rsidR="002F35AB" w:rsidRDefault="002F35AB" w:rsidP="0070705F">
      <w:pPr>
        <w:pStyle w:val="ListParagraph"/>
        <w:numPr>
          <w:ilvl w:val="0"/>
          <w:numId w:val="1"/>
        </w:numPr>
        <w:spacing w:after="0" w:line="240" w:lineRule="auto"/>
        <w:jc w:val="both"/>
        <w:rPr>
          <w:rFonts w:ascii="Verdana" w:hAnsi="Verdana"/>
          <w:sz w:val="20"/>
          <w:szCs w:val="20"/>
        </w:rPr>
      </w:pPr>
      <w:r w:rsidRPr="00C46DB7">
        <w:rPr>
          <w:rFonts w:ascii="Verdana" w:hAnsi="Verdana"/>
          <w:sz w:val="20"/>
          <w:szCs w:val="20"/>
        </w:rPr>
        <w:t xml:space="preserve">UNICEF </w:t>
      </w:r>
      <w:r w:rsidR="00C46DB7">
        <w:rPr>
          <w:rFonts w:ascii="Verdana" w:hAnsi="Verdana"/>
          <w:sz w:val="20"/>
          <w:szCs w:val="20"/>
        </w:rPr>
        <w:t xml:space="preserve">is urging </w:t>
      </w:r>
      <w:r w:rsidRPr="00C46DB7">
        <w:rPr>
          <w:rFonts w:ascii="Verdana" w:hAnsi="Verdana"/>
          <w:sz w:val="20"/>
          <w:szCs w:val="20"/>
        </w:rPr>
        <w:t xml:space="preserve">governments across the EU and OECD to tackle inequality </w:t>
      </w:r>
      <w:r w:rsidR="00C46DB7">
        <w:rPr>
          <w:rFonts w:ascii="Verdana" w:hAnsi="Verdana"/>
          <w:sz w:val="20"/>
          <w:szCs w:val="20"/>
        </w:rPr>
        <w:t>by prioritising</w:t>
      </w:r>
      <w:r w:rsidRPr="00C46DB7">
        <w:rPr>
          <w:rFonts w:ascii="Verdana" w:hAnsi="Verdana"/>
          <w:sz w:val="20"/>
          <w:szCs w:val="20"/>
        </w:rPr>
        <w:t xml:space="preserve"> the needs of the most disadvantaged children. </w:t>
      </w:r>
    </w:p>
    <w:p w14:paraId="5B123426" w14:textId="77777777" w:rsidR="00E746E4" w:rsidRDefault="00E746E4" w:rsidP="00E746E4">
      <w:pPr>
        <w:spacing w:after="0" w:line="240" w:lineRule="auto"/>
        <w:jc w:val="both"/>
        <w:rPr>
          <w:rFonts w:ascii="Verdana" w:hAnsi="Verdana"/>
          <w:sz w:val="20"/>
          <w:szCs w:val="20"/>
        </w:rPr>
      </w:pPr>
    </w:p>
    <w:p w14:paraId="64676DEB" w14:textId="77777777" w:rsidR="00E746E4" w:rsidRPr="004156D3" w:rsidRDefault="00E746E4" w:rsidP="00E746E4">
      <w:pPr>
        <w:jc w:val="both"/>
        <w:rPr>
          <w:rFonts w:ascii="Verdana" w:hAnsi="Verdana" w:cs="Arial"/>
          <w:b/>
          <w:sz w:val="20"/>
          <w:szCs w:val="20"/>
        </w:rPr>
      </w:pPr>
      <w:r w:rsidRPr="004156D3">
        <w:rPr>
          <w:rFonts w:ascii="Verdana" w:hAnsi="Verdana" w:cs="Arial"/>
          <w:b/>
          <w:sz w:val="20"/>
          <w:szCs w:val="20"/>
        </w:rPr>
        <w:t xml:space="preserve">Overall </w:t>
      </w:r>
      <w:r>
        <w:rPr>
          <w:rFonts w:ascii="Verdana" w:hAnsi="Verdana" w:cs="Arial"/>
          <w:b/>
          <w:sz w:val="20"/>
          <w:szCs w:val="20"/>
        </w:rPr>
        <w:t>inequality</w:t>
      </w:r>
    </w:p>
    <w:p w14:paraId="6EF0C196" w14:textId="77777777" w:rsidR="00E746E4" w:rsidRDefault="00E746E4" w:rsidP="00E746E4">
      <w:pPr>
        <w:numPr>
          <w:ilvl w:val="0"/>
          <w:numId w:val="6"/>
        </w:numPr>
        <w:spacing w:after="0" w:line="240" w:lineRule="auto"/>
        <w:jc w:val="both"/>
        <w:rPr>
          <w:rFonts w:ascii="Verdana" w:hAnsi="Verdana" w:cs="Arial"/>
          <w:sz w:val="20"/>
          <w:szCs w:val="20"/>
        </w:rPr>
      </w:pPr>
      <w:r w:rsidRPr="004156D3">
        <w:rPr>
          <w:rFonts w:ascii="Verdana" w:hAnsi="Verdana" w:cs="Arial"/>
          <w:sz w:val="20"/>
          <w:szCs w:val="20"/>
        </w:rPr>
        <w:t xml:space="preserve">A comparison of overall league tables suggests that </w:t>
      </w:r>
      <w:r>
        <w:rPr>
          <w:rFonts w:ascii="Verdana" w:hAnsi="Verdana" w:cs="Arial"/>
          <w:sz w:val="20"/>
          <w:szCs w:val="20"/>
        </w:rPr>
        <w:t>Canada,</w:t>
      </w:r>
      <w:r w:rsidRPr="004156D3">
        <w:rPr>
          <w:rFonts w:ascii="Verdana" w:hAnsi="Verdana" w:cs="Arial"/>
          <w:sz w:val="20"/>
          <w:szCs w:val="20"/>
        </w:rPr>
        <w:t xml:space="preserve"> France, Iceland</w:t>
      </w:r>
      <w:r>
        <w:rPr>
          <w:rFonts w:ascii="Verdana" w:hAnsi="Verdana" w:cs="Arial"/>
          <w:sz w:val="20"/>
          <w:szCs w:val="20"/>
        </w:rPr>
        <w:t xml:space="preserve">, </w:t>
      </w:r>
      <w:r w:rsidRPr="004156D3">
        <w:rPr>
          <w:rFonts w:ascii="Verdana" w:hAnsi="Verdana" w:cs="Arial"/>
          <w:sz w:val="20"/>
          <w:szCs w:val="20"/>
        </w:rPr>
        <w:t xml:space="preserve">and Sweden have seen their comparative positions decline in recent years. </w:t>
      </w:r>
    </w:p>
    <w:p w14:paraId="253F82F1" w14:textId="77777777" w:rsidR="00E746E4" w:rsidRPr="00E746E4" w:rsidRDefault="00E746E4" w:rsidP="00E746E4">
      <w:pPr>
        <w:spacing w:after="0" w:line="240" w:lineRule="auto"/>
        <w:ind w:left="720"/>
        <w:jc w:val="both"/>
        <w:rPr>
          <w:rFonts w:ascii="Verdana" w:hAnsi="Verdana" w:cs="Arial"/>
          <w:sz w:val="20"/>
          <w:szCs w:val="20"/>
        </w:rPr>
      </w:pPr>
    </w:p>
    <w:p w14:paraId="108F1D50" w14:textId="77777777" w:rsidR="00E746E4" w:rsidRPr="004156D3" w:rsidRDefault="00E746E4" w:rsidP="00E746E4">
      <w:pPr>
        <w:numPr>
          <w:ilvl w:val="0"/>
          <w:numId w:val="6"/>
        </w:numPr>
        <w:spacing w:after="0" w:line="240" w:lineRule="auto"/>
        <w:jc w:val="both"/>
        <w:rPr>
          <w:rFonts w:ascii="Verdana" w:hAnsi="Verdana" w:cs="Arial"/>
          <w:sz w:val="20"/>
          <w:szCs w:val="20"/>
        </w:rPr>
      </w:pPr>
      <w:r w:rsidRPr="004156D3">
        <w:rPr>
          <w:rFonts w:ascii="Verdana" w:hAnsi="Verdana" w:cs="Arial"/>
          <w:sz w:val="20"/>
          <w:szCs w:val="20"/>
        </w:rPr>
        <w:t>France</w:t>
      </w:r>
      <w:r>
        <w:rPr>
          <w:rFonts w:ascii="Verdana" w:hAnsi="Verdana" w:cs="Arial"/>
          <w:sz w:val="20"/>
          <w:szCs w:val="20"/>
        </w:rPr>
        <w:t xml:space="preserve"> and Canada</w:t>
      </w:r>
      <w:r w:rsidRPr="004156D3">
        <w:rPr>
          <w:rFonts w:ascii="Verdana" w:hAnsi="Verdana" w:cs="Arial"/>
          <w:sz w:val="20"/>
          <w:szCs w:val="20"/>
        </w:rPr>
        <w:t xml:space="preserve">, previously towards the middle of the overall table, now rank in the bottom third; whilst Iceland and Sweden, previously towards the top of the overall league table, now sit marginally above the bottom third. </w:t>
      </w:r>
    </w:p>
    <w:p w14:paraId="5D643DA8" w14:textId="77777777" w:rsidR="00E746E4" w:rsidRDefault="00E746E4" w:rsidP="00E746E4">
      <w:pPr>
        <w:spacing w:after="0" w:line="240" w:lineRule="auto"/>
        <w:ind w:left="720"/>
        <w:jc w:val="both"/>
        <w:rPr>
          <w:rFonts w:ascii="Verdana" w:hAnsi="Verdana" w:cs="Arial"/>
          <w:sz w:val="20"/>
          <w:szCs w:val="20"/>
        </w:rPr>
      </w:pPr>
    </w:p>
    <w:p w14:paraId="699E4DB1" w14:textId="77777777" w:rsidR="00E746E4" w:rsidRDefault="00E746E4" w:rsidP="00E746E4">
      <w:pPr>
        <w:numPr>
          <w:ilvl w:val="0"/>
          <w:numId w:val="6"/>
        </w:numPr>
        <w:spacing w:after="0" w:line="240" w:lineRule="auto"/>
        <w:jc w:val="both"/>
        <w:rPr>
          <w:rFonts w:ascii="Verdana" w:hAnsi="Verdana" w:cs="Arial"/>
          <w:sz w:val="20"/>
          <w:szCs w:val="20"/>
        </w:rPr>
      </w:pPr>
      <w:r w:rsidRPr="004156D3">
        <w:rPr>
          <w:rFonts w:ascii="Verdana" w:hAnsi="Verdana" w:cs="Arial"/>
          <w:sz w:val="20"/>
          <w:szCs w:val="20"/>
        </w:rPr>
        <w:t>Denmark is at the top of the overall league</w:t>
      </w:r>
      <w:r>
        <w:rPr>
          <w:rFonts w:ascii="Verdana" w:hAnsi="Verdana" w:cs="Arial"/>
          <w:sz w:val="20"/>
          <w:szCs w:val="20"/>
        </w:rPr>
        <w:t xml:space="preserve"> table. It was comparatively low bottom-end inequality in each of the four domains of child well-being. Israel and Turkey rank at the bottom of the overall league table. </w:t>
      </w:r>
    </w:p>
    <w:p w14:paraId="79175C35" w14:textId="77777777" w:rsidR="00E746E4" w:rsidRDefault="00E746E4" w:rsidP="00E746E4">
      <w:pPr>
        <w:spacing w:after="0" w:line="240" w:lineRule="auto"/>
        <w:ind w:left="720"/>
        <w:jc w:val="both"/>
        <w:rPr>
          <w:rFonts w:ascii="Verdana" w:hAnsi="Verdana" w:cs="Arial"/>
          <w:sz w:val="20"/>
          <w:szCs w:val="20"/>
        </w:rPr>
      </w:pPr>
    </w:p>
    <w:p w14:paraId="10396673" w14:textId="77777777" w:rsidR="00E746E4" w:rsidRDefault="00E746E4" w:rsidP="00E746E4">
      <w:pPr>
        <w:numPr>
          <w:ilvl w:val="0"/>
          <w:numId w:val="6"/>
        </w:numPr>
        <w:spacing w:after="0" w:line="240" w:lineRule="auto"/>
        <w:jc w:val="both"/>
        <w:rPr>
          <w:rFonts w:ascii="Verdana" w:hAnsi="Verdana" w:cs="Arial"/>
          <w:sz w:val="20"/>
          <w:szCs w:val="20"/>
        </w:rPr>
      </w:pPr>
      <w:r>
        <w:rPr>
          <w:rFonts w:ascii="Verdana" w:hAnsi="Verdana" w:cs="Arial"/>
          <w:sz w:val="20"/>
          <w:szCs w:val="20"/>
        </w:rPr>
        <w:t>Some of the richest countries in the world are placed in the bottom third of the overall league table including Canada (26</w:t>
      </w:r>
      <w:r w:rsidRPr="004156D3">
        <w:rPr>
          <w:rFonts w:ascii="Verdana" w:hAnsi="Verdana" w:cs="Arial"/>
          <w:sz w:val="20"/>
          <w:szCs w:val="20"/>
          <w:vertAlign w:val="superscript"/>
        </w:rPr>
        <w:t>th</w:t>
      </w:r>
      <w:r>
        <w:rPr>
          <w:rFonts w:ascii="Verdana" w:hAnsi="Verdana" w:cs="Arial"/>
          <w:sz w:val="20"/>
          <w:szCs w:val="20"/>
        </w:rPr>
        <w:t>), France (28</w:t>
      </w:r>
      <w:r w:rsidRPr="004156D3">
        <w:rPr>
          <w:rFonts w:ascii="Verdana" w:hAnsi="Verdana" w:cs="Arial"/>
          <w:sz w:val="20"/>
          <w:szCs w:val="20"/>
          <w:vertAlign w:val="superscript"/>
        </w:rPr>
        <w:t>th</w:t>
      </w:r>
      <w:r>
        <w:rPr>
          <w:rFonts w:ascii="Verdana" w:hAnsi="Verdana" w:cs="Arial"/>
          <w:sz w:val="20"/>
          <w:szCs w:val="20"/>
        </w:rPr>
        <w:t>) and Italy (32</w:t>
      </w:r>
      <w:r w:rsidRPr="004156D3">
        <w:rPr>
          <w:rFonts w:ascii="Verdana" w:hAnsi="Verdana" w:cs="Arial"/>
          <w:sz w:val="20"/>
          <w:szCs w:val="20"/>
          <w:vertAlign w:val="superscript"/>
        </w:rPr>
        <w:t>nd</w:t>
      </w:r>
      <w:r>
        <w:rPr>
          <w:rFonts w:ascii="Verdana" w:hAnsi="Verdana" w:cs="Arial"/>
          <w:sz w:val="20"/>
          <w:szCs w:val="20"/>
        </w:rPr>
        <w:t>).</w:t>
      </w:r>
    </w:p>
    <w:p w14:paraId="051C13BC" w14:textId="77777777" w:rsidR="00A45E23" w:rsidRDefault="00A45E23" w:rsidP="00E746E4">
      <w:pPr>
        <w:jc w:val="both"/>
        <w:rPr>
          <w:rFonts w:ascii="Verdana" w:hAnsi="Verdana" w:cs="Arial"/>
          <w:b/>
          <w:sz w:val="20"/>
          <w:szCs w:val="20"/>
        </w:rPr>
      </w:pPr>
    </w:p>
    <w:p w14:paraId="212DD17D" w14:textId="77777777" w:rsidR="00E746E4" w:rsidRDefault="00E746E4" w:rsidP="00E746E4">
      <w:pPr>
        <w:jc w:val="both"/>
        <w:rPr>
          <w:rFonts w:ascii="Verdana" w:hAnsi="Verdana" w:cs="Arial"/>
          <w:b/>
          <w:sz w:val="20"/>
          <w:szCs w:val="20"/>
        </w:rPr>
      </w:pPr>
      <w:r w:rsidRPr="00E61646">
        <w:rPr>
          <w:rFonts w:ascii="Verdana" w:hAnsi="Verdana" w:cs="Arial"/>
          <w:b/>
          <w:sz w:val="20"/>
          <w:szCs w:val="20"/>
        </w:rPr>
        <w:t xml:space="preserve">Income </w:t>
      </w:r>
      <w:r>
        <w:rPr>
          <w:rFonts w:ascii="Verdana" w:hAnsi="Verdana" w:cs="Arial"/>
          <w:b/>
          <w:sz w:val="20"/>
          <w:szCs w:val="20"/>
        </w:rPr>
        <w:t xml:space="preserve">inequality </w:t>
      </w:r>
    </w:p>
    <w:p w14:paraId="75CA791B" w14:textId="77777777" w:rsidR="00E746E4" w:rsidRDefault="00E746E4" w:rsidP="00E746E4">
      <w:pPr>
        <w:numPr>
          <w:ilvl w:val="0"/>
          <w:numId w:val="6"/>
        </w:numPr>
        <w:spacing w:after="0" w:line="240" w:lineRule="auto"/>
        <w:jc w:val="both"/>
        <w:rPr>
          <w:rFonts w:ascii="Verdana" w:hAnsi="Verdana" w:cs="Arial"/>
          <w:sz w:val="20"/>
          <w:szCs w:val="20"/>
        </w:rPr>
      </w:pPr>
      <w:r>
        <w:rPr>
          <w:rFonts w:ascii="Verdana" w:hAnsi="Verdana" w:cs="Arial"/>
          <w:sz w:val="20"/>
          <w:szCs w:val="20"/>
        </w:rPr>
        <w:t xml:space="preserve">The report identifies that income inequality has increased in the majority of rich countries with 19 out of 37 countries seeing an increase in the relative child income gap of at least 1 percentage point between 2008 and 2013. </w:t>
      </w:r>
    </w:p>
    <w:p w14:paraId="7394F2B2" w14:textId="77777777" w:rsidR="00E746E4" w:rsidRPr="00E746E4" w:rsidRDefault="00E746E4" w:rsidP="00E746E4">
      <w:pPr>
        <w:spacing w:after="0" w:line="240" w:lineRule="auto"/>
        <w:ind w:left="720"/>
        <w:jc w:val="both"/>
        <w:rPr>
          <w:rFonts w:ascii="Verdana" w:hAnsi="Verdana" w:cs="Arial"/>
          <w:sz w:val="20"/>
          <w:szCs w:val="20"/>
        </w:rPr>
      </w:pPr>
    </w:p>
    <w:p w14:paraId="342F9A77" w14:textId="77777777" w:rsidR="00E746E4" w:rsidRDefault="00E746E4" w:rsidP="00E746E4">
      <w:pPr>
        <w:numPr>
          <w:ilvl w:val="0"/>
          <w:numId w:val="6"/>
        </w:numPr>
        <w:spacing w:after="0" w:line="240" w:lineRule="auto"/>
        <w:jc w:val="both"/>
        <w:rPr>
          <w:rFonts w:ascii="Verdana" w:hAnsi="Verdana" w:cs="Arial"/>
          <w:sz w:val="20"/>
          <w:szCs w:val="20"/>
        </w:rPr>
      </w:pPr>
      <w:r>
        <w:rPr>
          <w:rFonts w:ascii="Verdana" w:hAnsi="Verdana" w:cs="Arial"/>
          <w:sz w:val="20"/>
          <w:szCs w:val="20"/>
        </w:rPr>
        <w:t xml:space="preserve">The largest increases in income inequality – of at least 5 percentage points – occurred in four southern European countries (Greece, Italy, Portugal, and Spain) and three Eastern European countries (Hungary, Slovakia and Slovenia). </w:t>
      </w:r>
    </w:p>
    <w:p w14:paraId="21458E31" w14:textId="77777777" w:rsidR="00E746E4" w:rsidRPr="00E746E4" w:rsidRDefault="00E746E4" w:rsidP="00E746E4">
      <w:pPr>
        <w:spacing w:after="0" w:line="240" w:lineRule="auto"/>
        <w:ind w:left="720"/>
        <w:jc w:val="both"/>
        <w:rPr>
          <w:rFonts w:ascii="Verdana" w:hAnsi="Verdana" w:cs="Arial"/>
          <w:sz w:val="20"/>
          <w:szCs w:val="20"/>
        </w:rPr>
      </w:pPr>
    </w:p>
    <w:p w14:paraId="046CA1CE" w14:textId="77777777" w:rsidR="00E746E4" w:rsidRDefault="00E746E4" w:rsidP="00E746E4">
      <w:pPr>
        <w:numPr>
          <w:ilvl w:val="0"/>
          <w:numId w:val="6"/>
        </w:numPr>
        <w:spacing w:after="0" w:line="240" w:lineRule="auto"/>
        <w:jc w:val="both"/>
        <w:rPr>
          <w:rFonts w:ascii="Verdana" w:hAnsi="Verdana" w:cs="Arial"/>
          <w:sz w:val="20"/>
          <w:szCs w:val="20"/>
        </w:rPr>
      </w:pPr>
      <w:r>
        <w:rPr>
          <w:rFonts w:ascii="Verdana" w:hAnsi="Verdana" w:cs="Arial"/>
          <w:sz w:val="20"/>
          <w:szCs w:val="20"/>
        </w:rPr>
        <w:t xml:space="preserve">Scandinavian countries, with the exception of mid-ranking Sweden, have the smallest relative income gaps. </w:t>
      </w:r>
    </w:p>
    <w:p w14:paraId="5688118F" w14:textId="77777777" w:rsidR="00E746E4" w:rsidRDefault="00E746E4" w:rsidP="00E746E4">
      <w:pPr>
        <w:spacing w:after="0" w:line="240" w:lineRule="auto"/>
        <w:ind w:left="720"/>
        <w:jc w:val="both"/>
        <w:rPr>
          <w:rFonts w:ascii="Verdana" w:hAnsi="Verdana" w:cs="Arial"/>
          <w:sz w:val="20"/>
          <w:szCs w:val="20"/>
        </w:rPr>
      </w:pPr>
    </w:p>
    <w:p w14:paraId="3D167DDB" w14:textId="77777777" w:rsidR="00E746E4" w:rsidRPr="00891EF2" w:rsidRDefault="00E746E4" w:rsidP="00E746E4">
      <w:pPr>
        <w:numPr>
          <w:ilvl w:val="0"/>
          <w:numId w:val="6"/>
        </w:numPr>
        <w:spacing w:after="0" w:line="240" w:lineRule="auto"/>
        <w:jc w:val="both"/>
        <w:rPr>
          <w:rFonts w:ascii="Verdana" w:hAnsi="Verdana" w:cs="Arial"/>
          <w:sz w:val="20"/>
          <w:szCs w:val="20"/>
        </w:rPr>
      </w:pPr>
      <w:r>
        <w:rPr>
          <w:rFonts w:ascii="Verdana" w:hAnsi="Verdana" w:cs="Arial"/>
          <w:sz w:val="20"/>
          <w:szCs w:val="20"/>
        </w:rPr>
        <w:t>Two of the world’s wealthiest countries, Japan and the United States, were positioned in the bottom third of the league table for income inequality. In Japan t</w:t>
      </w:r>
      <w:r w:rsidRPr="00891EF2">
        <w:rPr>
          <w:rFonts w:ascii="Verdana" w:hAnsi="Verdana" w:cs="Arial"/>
          <w:sz w:val="20"/>
          <w:szCs w:val="20"/>
        </w:rPr>
        <w:t xml:space="preserve">he household income of </w:t>
      </w:r>
      <w:r>
        <w:rPr>
          <w:rFonts w:ascii="Verdana" w:hAnsi="Verdana" w:cs="Arial"/>
          <w:sz w:val="20"/>
          <w:szCs w:val="20"/>
        </w:rPr>
        <w:t xml:space="preserve">a child at the 10th percentile </w:t>
      </w:r>
      <w:r w:rsidRPr="00891EF2">
        <w:rPr>
          <w:rFonts w:ascii="Verdana" w:hAnsi="Verdana" w:cs="Arial"/>
          <w:sz w:val="20"/>
          <w:szCs w:val="20"/>
        </w:rPr>
        <w:t xml:space="preserve">is </w:t>
      </w:r>
      <w:r>
        <w:rPr>
          <w:rFonts w:ascii="Verdana" w:hAnsi="Verdana" w:cs="Arial"/>
          <w:sz w:val="20"/>
          <w:szCs w:val="20"/>
        </w:rPr>
        <w:t>60.17</w:t>
      </w:r>
      <w:r w:rsidRPr="00891EF2">
        <w:rPr>
          <w:rFonts w:ascii="Verdana" w:hAnsi="Verdana" w:cs="Arial"/>
          <w:sz w:val="20"/>
          <w:szCs w:val="20"/>
        </w:rPr>
        <w:t xml:space="preserve"> per cent lower than that of </w:t>
      </w:r>
      <w:r>
        <w:rPr>
          <w:rFonts w:ascii="Verdana" w:hAnsi="Verdana" w:cs="Arial"/>
          <w:sz w:val="20"/>
          <w:szCs w:val="20"/>
        </w:rPr>
        <w:t>a</w:t>
      </w:r>
      <w:r w:rsidRPr="00891EF2">
        <w:rPr>
          <w:rFonts w:ascii="Verdana" w:hAnsi="Verdana" w:cs="Arial"/>
          <w:sz w:val="20"/>
          <w:szCs w:val="20"/>
        </w:rPr>
        <w:t xml:space="preserve"> child in the middle of the income distribution</w:t>
      </w:r>
      <w:r>
        <w:rPr>
          <w:rFonts w:ascii="Verdana" w:hAnsi="Verdana" w:cs="Arial"/>
          <w:sz w:val="20"/>
          <w:szCs w:val="20"/>
        </w:rPr>
        <w:t>,</w:t>
      </w:r>
      <w:r w:rsidRPr="00891EF2">
        <w:rPr>
          <w:rFonts w:ascii="Verdana" w:hAnsi="Verdana" w:cs="Arial"/>
          <w:sz w:val="20"/>
          <w:szCs w:val="20"/>
        </w:rPr>
        <w:t xml:space="preserve"> and 58.85 per cent in </w:t>
      </w:r>
      <w:r>
        <w:rPr>
          <w:rFonts w:ascii="Verdana" w:hAnsi="Verdana" w:cs="Arial"/>
          <w:sz w:val="20"/>
          <w:szCs w:val="20"/>
        </w:rPr>
        <w:t>the United States</w:t>
      </w:r>
      <w:r w:rsidRPr="00891EF2">
        <w:rPr>
          <w:rFonts w:ascii="Verdana" w:hAnsi="Verdana" w:cs="Arial"/>
          <w:sz w:val="20"/>
          <w:szCs w:val="20"/>
        </w:rPr>
        <w:t>.</w:t>
      </w:r>
    </w:p>
    <w:p w14:paraId="22E70B69" w14:textId="77777777" w:rsidR="00E746E4" w:rsidRDefault="00E746E4" w:rsidP="00E746E4">
      <w:pPr>
        <w:jc w:val="both"/>
        <w:rPr>
          <w:rFonts w:ascii="Verdana" w:hAnsi="Verdana" w:cs="Arial"/>
          <w:sz w:val="20"/>
          <w:szCs w:val="20"/>
        </w:rPr>
      </w:pPr>
    </w:p>
    <w:p w14:paraId="14AD6E40" w14:textId="77777777" w:rsidR="00E746E4" w:rsidRPr="00E61646" w:rsidRDefault="00E746E4" w:rsidP="00E746E4">
      <w:pPr>
        <w:jc w:val="both"/>
        <w:rPr>
          <w:rFonts w:ascii="Verdana" w:hAnsi="Verdana" w:cs="Arial"/>
          <w:b/>
          <w:sz w:val="20"/>
          <w:szCs w:val="20"/>
        </w:rPr>
      </w:pPr>
      <w:r w:rsidRPr="00E61646">
        <w:rPr>
          <w:rFonts w:ascii="Verdana" w:hAnsi="Verdana" w:cs="Arial"/>
          <w:b/>
          <w:sz w:val="20"/>
          <w:szCs w:val="20"/>
        </w:rPr>
        <w:t>Education</w:t>
      </w:r>
      <w:r>
        <w:rPr>
          <w:rFonts w:ascii="Verdana" w:hAnsi="Verdana" w:cs="Arial"/>
          <w:b/>
          <w:sz w:val="20"/>
          <w:szCs w:val="20"/>
        </w:rPr>
        <w:t>al achievement</w:t>
      </w:r>
      <w:r w:rsidRPr="00E61646">
        <w:rPr>
          <w:rFonts w:ascii="Verdana" w:hAnsi="Verdana" w:cs="Arial"/>
          <w:b/>
          <w:sz w:val="20"/>
          <w:szCs w:val="20"/>
        </w:rPr>
        <w:t xml:space="preserve"> inequality</w:t>
      </w:r>
    </w:p>
    <w:p w14:paraId="5C6B3C14" w14:textId="77777777" w:rsidR="00E746E4" w:rsidRDefault="00E746E4" w:rsidP="00E746E4">
      <w:pPr>
        <w:numPr>
          <w:ilvl w:val="0"/>
          <w:numId w:val="7"/>
        </w:numPr>
        <w:spacing w:after="0" w:line="240" w:lineRule="auto"/>
        <w:jc w:val="both"/>
        <w:rPr>
          <w:rFonts w:ascii="Verdana" w:hAnsi="Verdana" w:cs="Arial"/>
          <w:sz w:val="20"/>
          <w:szCs w:val="20"/>
        </w:rPr>
      </w:pPr>
      <w:r>
        <w:rPr>
          <w:rFonts w:ascii="Verdana" w:hAnsi="Verdana" w:cs="Arial"/>
          <w:sz w:val="20"/>
          <w:szCs w:val="20"/>
        </w:rPr>
        <w:t xml:space="preserve">Inequality in educational achievement narrowed in the majority of countries between 2006 and 2012, with the exception of Finland and Sweden which saw bottom-end inequality increase alongside a worrying fall in median test scores. The largest improvements were made in Chile, the Czech Republic, Germany and Mexico. </w:t>
      </w:r>
    </w:p>
    <w:p w14:paraId="18ECB943" w14:textId="77777777" w:rsidR="00E746E4" w:rsidRPr="00E746E4" w:rsidRDefault="00E746E4" w:rsidP="00E746E4">
      <w:pPr>
        <w:spacing w:after="0" w:line="240" w:lineRule="auto"/>
        <w:ind w:left="720"/>
        <w:jc w:val="both"/>
        <w:rPr>
          <w:rFonts w:ascii="Verdana" w:hAnsi="Verdana" w:cs="Arial"/>
          <w:sz w:val="20"/>
          <w:szCs w:val="20"/>
        </w:rPr>
      </w:pPr>
    </w:p>
    <w:p w14:paraId="4C8C0BB1" w14:textId="77777777" w:rsidR="00E746E4" w:rsidRDefault="00E746E4" w:rsidP="00E746E4">
      <w:pPr>
        <w:numPr>
          <w:ilvl w:val="0"/>
          <w:numId w:val="7"/>
        </w:numPr>
        <w:spacing w:after="0" w:line="240" w:lineRule="auto"/>
        <w:jc w:val="both"/>
        <w:rPr>
          <w:rFonts w:ascii="Verdana" w:hAnsi="Verdana" w:cs="Arial"/>
          <w:sz w:val="20"/>
          <w:szCs w:val="20"/>
        </w:rPr>
      </w:pPr>
      <w:r>
        <w:rPr>
          <w:rFonts w:ascii="Verdana" w:hAnsi="Verdana" w:cs="Arial"/>
          <w:sz w:val="20"/>
          <w:szCs w:val="20"/>
        </w:rPr>
        <w:t xml:space="preserve">Finland and Sweden saw a notable increase in the proportion of 15 year olds who failed to achieve proficiency level 2 in maths, reading and science, suggesting that there is a growing group of very disadvantaged children in these two countries. </w:t>
      </w:r>
    </w:p>
    <w:p w14:paraId="33A962AA" w14:textId="77777777" w:rsidR="00E746E4" w:rsidRPr="00E746E4" w:rsidRDefault="00E746E4" w:rsidP="00E746E4">
      <w:pPr>
        <w:spacing w:after="0" w:line="240" w:lineRule="auto"/>
        <w:ind w:left="720"/>
        <w:jc w:val="both"/>
        <w:rPr>
          <w:rFonts w:ascii="Verdana" w:hAnsi="Verdana" w:cs="Arial"/>
          <w:sz w:val="20"/>
          <w:szCs w:val="20"/>
        </w:rPr>
      </w:pPr>
    </w:p>
    <w:p w14:paraId="043AD3AD" w14:textId="77777777" w:rsidR="00E746E4" w:rsidRDefault="00E746E4" w:rsidP="002A0E20">
      <w:pPr>
        <w:numPr>
          <w:ilvl w:val="0"/>
          <w:numId w:val="7"/>
        </w:numPr>
        <w:spacing w:after="0" w:line="240" w:lineRule="auto"/>
        <w:jc w:val="both"/>
        <w:rPr>
          <w:rFonts w:ascii="Verdana" w:hAnsi="Verdana" w:cs="Arial"/>
          <w:sz w:val="20"/>
          <w:szCs w:val="20"/>
        </w:rPr>
      </w:pPr>
      <w:r w:rsidRPr="00E746E4">
        <w:rPr>
          <w:rFonts w:ascii="Verdana" w:hAnsi="Verdana" w:cs="Arial"/>
          <w:sz w:val="20"/>
          <w:szCs w:val="20"/>
        </w:rPr>
        <w:t xml:space="preserve">Whilst some countries are moving upward, others demonstrate a worrying regressive trend in terms of their support for children at the ‘bottom’. </w:t>
      </w:r>
    </w:p>
    <w:p w14:paraId="5FD74500" w14:textId="77777777" w:rsidR="00E746E4" w:rsidRDefault="00E746E4" w:rsidP="00E746E4">
      <w:pPr>
        <w:spacing w:after="0" w:line="240" w:lineRule="auto"/>
        <w:ind w:left="720"/>
        <w:jc w:val="both"/>
        <w:rPr>
          <w:rFonts w:ascii="Verdana" w:hAnsi="Verdana" w:cs="Arial"/>
          <w:sz w:val="20"/>
          <w:szCs w:val="20"/>
        </w:rPr>
      </w:pPr>
    </w:p>
    <w:p w14:paraId="607EF0D5" w14:textId="77777777" w:rsidR="00E746E4" w:rsidRPr="00E746E4" w:rsidRDefault="00E746E4" w:rsidP="002A0E20">
      <w:pPr>
        <w:numPr>
          <w:ilvl w:val="0"/>
          <w:numId w:val="7"/>
        </w:numPr>
        <w:spacing w:after="0" w:line="240" w:lineRule="auto"/>
        <w:jc w:val="both"/>
        <w:rPr>
          <w:rFonts w:ascii="Verdana" w:hAnsi="Verdana" w:cs="Arial"/>
          <w:sz w:val="20"/>
          <w:szCs w:val="20"/>
        </w:rPr>
      </w:pPr>
      <w:r w:rsidRPr="00E746E4">
        <w:rPr>
          <w:rFonts w:ascii="Verdana" w:hAnsi="Verdana" w:cs="Arial"/>
          <w:sz w:val="20"/>
          <w:szCs w:val="20"/>
        </w:rPr>
        <w:t xml:space="preserve">The evidence presented in the report shows that large relative educational achievement gaps are not inevitable. Strong all-round performance seen in countries such as Denmark, Estonia and Poland shows that there is no need to sacrifice a rise in overall educational achievement in order to reduce relative achievement gaps or absolute educational disadvantage. </w:t>
      </w:r>
    </w:p>
    <w:p w14:paraId="00EA016F" w14:textId="77777777" w:rsidR="00E746E4" w:rsidRDefault="00E746E4" w:rsidP="00E746E4">
      <w:pPr>
        <w:jc w:val="both"/>
        <w:rPr>
          <w:rFonts w:ascii="Verdana" w:hAnsi="Verdana" w:cs="Arial"/>
          <w:sz w:val="20"/>
          <w:szCs w:val="20"/>
        </w:rPr>
      </w:pPr>
    </w:p>
    <w:p w14:paraId="2C45C1F0" w14:textId="77777777" w:rsidR="00E746E4" w:rsidRPr="0033357A" w:rsidRDefault="00E746E4" w:rsidP="00E746E4">
      <w:pPr>
        <w:jc w:val="both"/>
        <w:rPr>
          <w:rFonts w:ascii="Verdana" w:hAnsi="Verdana" w:cs="Arial"/>
          <w:b/>
          <w:sz w:val="20"/>
          <w:szCs w:val="20"/>
        </w:rPr>
      </w:pPr>
      <w:r w:rsidRPr="0033357A">
        <w:rPr>
          <w:rFonts w:ascii="Verdana" w:hAnsi="Verdana" w:cs="Arial"/>
          <w:b/>
          <w:sz w:val="20"/>
          <w:szCs w:val="20"/>
        </w:rPr>
        <w:t xml:space="preserve">Health </w:t>
      </w:r>
    </w:p>
    <w:p w14:paraId="0B2DDA07" w14:textId="77777777" w:rsidR="00E746E4" w:rsidRDefault="00E746E4" w:rsidP="00E746E4">
      <w:pPr>
        <w:numPr>
          <w:ilvl w:val="0"/>
          <w:numId w:val="8"/>
        </w:numPr>
        <w:spacing w:after="0" w:line="240" w:lineRule="auto"/>
        <w:jc w:val="both"/>
        <w:rPr>
          <w:rFonts w:ascii="Verdana" w:hAnsi="Verdana" w:cs="Arial"/>
          <w:sz w:val="20"/>
          <w:szCs w:val="20"/>
        </w:rPr>
      </w:pPr>
      <w:r>
        <w:rPr>
          <w:rFonts w:ascii="Verdana" w:hAnsi="Verdana" w:cs="Arial"/>
          <w:sz w:val="20"/>
          <w:szCs w:val="20"/>
        </w:rPr>
        <w:t xml:space="preserve">Inequality in children’s health increased in the majority of countries. </w:t>
      </w:r>
    </w:p>
    <w:p w14:paraId="7911E23E" w14:textId="77777777" w:rsidR="00E746E4" w:rsidRPr="00E746E4" w:rsidRDefault="00E746E4" w:rsidP="00E746E4">
      <w:pPr>
        <w:spacing w:after="0" w:line="240" w:lineRule="auto"/>
        <w:ind w:left="720"/>
        <w:jc w:val="both"/>
        <w:rPr>
          <w:rFonts w:ascii="Verdana" w:hAnsi="Verdana" w:cs="Arial"/>
          <w:sz w:val="20"/>
          <w:szCs w:val="20"/>
        </w:rPr>
      </w:pPr>
    </w:p>
    <w:p w14:paraId="3E2166B6" w14:textId="77777777" w:rsidR="00E746E4" w:rsidRDefault="00E746E4" w:rsidP="00E746E4">
      <w:pPr>
        <w:numPr>
          <w:ilvl w:val="0"/>
          <w:numId w:val="8"/>
        </w:numPr>
        <w:spacing w:after="0" w:line="240" w:lineRule="auto"/>
        <w:jc w:val="both"/>
        <w:rPr>
          <w:rFonts w:ascii="Verdana" w:hAnsi="Verdana" w:cs="Arial"/>
          <w:sz w:val="20"/>
          <w:szCs w:val="20"/>
        </w:rPr>
      </w:pPr>
      <w:r>
        <w:rPr>
          <w:rFonts w:ascii="Verdana" w:hAnsi="Verdana" w:cs="Arial"/>
          <w:sz w:val="20"/>
          <w:szCs w:val="20"/>
        </w:rPr>
        <w:t xml:space="preserve">Data from the 2013/2014 Health Behaviour in School-Aged Children (HBSC) study highlighted in the health league tables in the report show that the average relative gap in children’s self-reported health symptoms is 29 per cent across the 35 countries examined. </w:t>
      </w:r>
    </w:p>
    <w:p w14:paraId="226E31DB" w14:textId="77777777" w:rsidR="00E746E4" w:rsidRDefault="00E746E4" w:rsidP="00E746E4">
      <w:pPr>
        <w:spacing w:after="0" w:line="240" w:lineRule="auto"/>
        <w:ind w:left="720"/>
        <w:jc w:val="both"/>
        <w:rPr>
          <w:rFonts w:ascii="Verdana" w:hAnsi="Verdana" w:cs="Arial"/>
          <w:sz w:val="20"/>
          <w:szCs w:val="20"/>
        </w:rPr>
      </w:pPr>
    </w:p>
    <w:p w14:paraId="787B5AF3" w14:textId="77777777" w:rsidR="00E746E4" w:rsidRDefault="00E746E4" w:rsidP="00E746E4">
      <w:pPr>
        <w:numPr>
          <w:ilvl w:val="0"/>
          <w:numId w:val="8"/>
        </w:numPr>
        <w:spacing w:after="0" w:line="240" w:lineRule="auto"/>
        <w:jc w:val="both"/>
        <w:rPr>
          <w:rFonts w:ascii="Verdana" w:hAnsi="Verdana" w:cs="Arial"/>
          <w:sz w:val="20"/>
          <w:szCs w:val="20"/>
        </w:rPr>
      </w:pPr>
      <w:r>
        <w:rPr>
          <w:rFonts w:ascii="Verdana" w:hAnsi="Verdana" w:cs="Arial"/>
          <w:sz w:val="20"/>
          <w:szCs w:val="20"/>
        </w:rPr>
        <w:t xml:space="preserve">The smallest health gaps are found in Austria (23.6 per cent), Germany (24.8 per cent), and Switzerland (25 per cent). The largest inequalities in children’s health are found in Israel where the relative health gap is 38.9 per cent, and Turkey, 34.5 per cent. </w:t>
      </w:r>
    </w:p>
    <w:p w14:paraId="2F5D058E" w14:textId="77777777" w:rsidR="00E746E4" w:rsidRPr="00E746E4" w:rsidRDefault="00E746E4" w:rsidP="00E746E4">
      <w:pPr>
        <w:spacing w:after="0" w:line="240" w:lineRule="auto"/>
        <w:ind w:left="720"/>
        <w:jc w:val="both"/>
        <w:rPr>
          <w:rFonts w:ascii="Verdana" w:hAnsi="Verdana" w:cs="Arial"/>
          <w:sz w:val="20"/>
          <w:szCs w:val="20"/>
        </w:rPr>
      </w:pPr>
    </w:p>
    <w:p w14:paraId="1EAAD402" w14:textId="77777777" w:rsidR="00E746E4" w:rsidRDefault="00E746E4" w:rsidP="00E746E4">
      <w:pPr>
        <w:numPr>
          <w:ilvl w:val="0"/>
          <w:numId w:val="8"/>
        </w:numPr>
        <w:spacing w:after="0" w:line="240" w:lineRule="auto"/>
        <w:jc w:val="both"/>
        <w:rPr>
          <w:rFonts w:ascii="Verdana" w:hAnsi="Verdana" w:cs="Arial"/>
          <w:sz w:val="20"/>
          <w:szCs w:val="20"/>
        </w:rPr>
      </w:pPr>
      <w:r>
        <w:rPr>
          <w:rFonts w:ascii="Verdana" w:hAnsi="Verdana" w:cs="Arial"/>
          <w:sz w:val="20"/>
          <w:szCs w:val="20"/>
        </w:rPr>
        <w:t xml:space="preserve">More than half of children in Turkey and around a third of children in Bulgaria, France, Israel, Malta and Romania report one or more health symptom a day. </w:t>
      </w:r>
    </w:p>
    <w:p w14:paraId="1A9405C7" w14:textId="77777777" w:rsidR="00E746E4" w:rsidRPr="00E746E4" w:rsidRDefault="00E746E4" w:rsidP="00E746E4">
      <w:pPr>
        <w:spacing w:after="0" w:line="240" w:lineRule="auto"/>
        <w:ind w:left="720"/>
        <w:jc w:val="both"/>
        <w:rPr>
          <w:rFonts w:ascii="Verdana" w:hAnsi="Verdana" w:cs="Arial"/>
          <w:sz w:val="20"/>
          <w:szCs w:val="20"/>
        </w:rPr>
      </w:pPr>
    </w:p>
    <w:p w14:paraId="3BAE6DD9" w14:textId="77777777" w:rsidR="00E746E4" w:rsidRDefault="00E746E4" w:rsidP="00E746E4">
      <w:pPr>
        <w:numPr>
          <w:ilvl w:val="0"/>
          <w:numId w:val="8"/>
        </w:numPr>
        <w:spacing w:after="0" w:line="240" w:lineRule="auto"/>
        <w:jc w:val="both"/>
        <w:rPr>
          <w:rFonts w:ascii="Verdana" w:hAnsi="Verdana" w:cs="Arial"/>
          <w:sz w:val="20"/>
          <w:szCs w:val="20"/>
        </w:rPr>
      </w:pPr>
      <w:r>
        <w:rPr>
          <w:rFonts w:ascii="Verdana" w:hAnsi="Verdana" w:cs="Arial"/>
          <w:sz w:val="20"/>
          <w:szCs w:val="20"/>
        </w:rPr>
        <w:t xml:space="preserve">Adolescent girls are persistently more likely to fall behind in health. In 10 countries the gender gap has increased since 2002 including in Canada, Sweden, the United Kingdom and the United States. </w:t>
      </w:r>
      <w:r w:rsidRPr="00EA46BF">
        <w:rPr>
          <w:rFonts w:ascii="Verdana" w:hAnsi="Verdana" w:cs="Lucida Grande"/>
          <w:sz w:val="20"/>
          <w:szCs w:val="20"/>
        </w:rPr>
        <w:t>These differences are likely to endure into adulthood.</w:t>
      </w:r>
      <w:r>
        <w:rPr>
          <w:rFonts w:ascii="Verdana" w:hAnsi="Verdana" w:cs="Arial"/>
          <w:sz w:val="20"/>
          <w:szCs w:val="20"/>
        </w:rPr>
        <w:t xml:space="preserve"> </w:t>
      </w:r>
    </w:p>
    <w:p w14:paraId="2DB8ED68" w14:textId="77777777" w:rsidR="00E746E4" w:rsidRDefault="00E746E4" w:rsidP="00E746E4">
      <w:pPr>
        <w:jc w:val="both"/>
        <w:rPr>
          <w:rFonts w:ascii="Verdana" w:hAnsi="Verdana" w:cs="Arial"/>
          <w:sz w:val="20"/>
          <w:szCs w:val="20"/>
        </w:rPr>
      </w:pPr>
    </w:p>
    <w:p w14:paraId="2A7884E0" w14:textId="77777777" w:rsidR="00E746E4" w:rsidRPr="00725F83" w:rsidRDefault="00E746E4" w:rsidP="00E746E4">
      <w:pPr>
        <w:jc w:val="both"/>
        <w:rPr>
          <w:rFonts w:ascii="Verdana" w:hAnsi="Verdana" w:cs="Arial"/>
          <w:b/>
          <w:sz w:val="20"/>
          <w:szCs w:val="20"/>
        </w:rPr>
      </w:pPr>
      <w:r w:rsidRPr="00725F83">
        <w:rPr>
          <w:rFonts w:ascii="Verdana" w:hAnsi="Verdana" w:cs="Arial"/>
          <w:b/>
          <w:sz w:val="20"/>
          <w:szCs w:val="20"/>
        </w:rPr>
        <w:t>Life satisfaction</w:t>
      </w:r>
    </w:p>
    <w:p w14:paraId="6C8E53E6" w14:textId="77777777" w:rsidR="00E746E4" w:rsidRDefault="00E746E4" w:rsidP="00E746E4">
      <w:pPr>
        <w:numPr>
          <w:ilvl w:val="0"/>
          <w:numId w:val="9"/>
        </w:numPr>
        <w:spacing w:after="0" w:line="240" w:lineRule="auto"/>
        <w:jc w:val="both"/>
        <w:rPr>
          <w:rFonts w:ascii="Verdana" w:hAnsi="Verdana" w:cs="Arial"/>
          <w:sz w:val="20"/>
          <w:szCs w:val="20"/>
        </w:rPr>
      </w:pPr>
      <w:r>
        <w:rPr>
          <w:rFonts w:ascii="Verdana" w:hAnsi="Verdana" w:cs="Arial"/>
          <w:sz w:val="20"/>
          <w:szCs w:val="20"/>
        </w:rPr>
        <w:t>The life satisfaction scores are based on children’s own ratings of their life satisfaction on the scale of 0 (“worst possible life for you”) to 10 (“best possible life for you”).</w:t>
      </w:r>
    </w:p>
    <w:p w14:paraId="2B35862F" w14:textId="77777777" w:rsidR="00E746E4" w:rsidRPr="00E746E4" w:rsidRDefault="00E746E4" w:rsidP="00E746E4">
      <w:pPr>
        <w:spacing w:after="0" w:line="240" w:lineRule="auto"/>
        <w:ind w:left="720"/>
        <w:jc w:val="both"/>
        <w:rPr>
          <w:rFonts w:ascii="Verdana" w:hAnsi="Verdana" w:cs="Arial"/>
          <w:sz w:val="20"/>
          <w:szCs w:val="20"/>
        </w:rPr>
      </w:pPr>
    </w:p>
    <w:p w14:paraId="3F6974A4" w14:textId="77777777" w:rsidR="00E746E4" w:rsidRDefault="00E746E4" w:rsidP="00E746E4">
      <w:pPr>
        <w:numPr>
          <w:ilvl w:val="0"/>
          <w:numId w:val="9"/>
        </w:numPr>
        <w:spacing w:after="0" w:line="240" w:lineRule="auto"/>
        <w:jc w:val="both"/>
        <w:rPr>
          <w:rFonts w:ascii="Verdana" w:hAnsi="Verdana" w:cs="Arial"/>
          <w:sz w:val="20"/>
          <w:szCs w:val="20"/>
        </w:rPr>
      </w:pPr>
      <w:r>
        <w:rPr>
          <w:rFonts w:ascii="Verdana" w:hAnsi="Verdana" w:cs="Arial"/>
          <w:sz w:val="20"/>
          <w:szCs w:val="20"/>
        </w:rPr>
        <w:lastRenderedPageBreak/>
        <w:t xml:space="preserve">The ‘average’ child reports life satisfaction of 8 out of 10 in almost all countries, but children at the lower end of the life satisfaction distribution fall far behind their peers – typically between 2.5 and 3 points out of 10 lower than the median. </w:t>
      </w:r>
    </w:p>
    <w:p w14:paraId="4BACA0ED" w14:textId="77777777" w:rsidR="00E746E4" w:rsidRPr="00E746E4" w:rsidRDefault="00E746E4" w:rsidP="00E746E4">
      <w:pPr>
        <w:spacing w:after="0" w:line="240" w:lineRule="auto"/>
        <w:ind w:left="720"/>
        <w:jc w:val="both"/>
        <w:rPr>
          <w:rFonts w:ascii="Verdana" w:hAnsi="Verdana" w:cs="Arial"/>
          <w:sz w:val="20"/>
          <w:szCs w:val="20"/>
        </w:rPr>
      </w:pPr>
    </w:p>
    <w:p w14:paraId="38A68CC6" w14:textId="77777777" w:rsidR="00E746E4" w:rsidRDefault="00E746E4" w:rsidP="00E746E4">
      <w:pPr>
        <w:numPr>
          <w:ilvl w:val="0"/>
          <w:numId w:val="9"/>
        </w:numPr>
        <w:spacing w:after="0" w:line="240" w:lineRule="auto"/>
        <w:jc w:val="both"/>
        <w:rPr>
          <w:rFonts w:ascii="Verdana" w:hAnsi="Verdana" w:cs="Arial"/>
          <w:sz w:val="20"/>
          <w:szCs w:val="20"/>
        </w:rPr>
      </w:pPr>
      <w:r>
        <w:rPr>
          <w:rFonts w:ascii="Verdana" w:hAnsi="Verdana" w:cs="Arial"/>
          <w:sz w:val="20"/>
          <w:szCs w:val="20"/>
        </w:rPr>
        <w:t xml:space="preserve">Children at the bottom fall furthest behind in Turkey, where the relative life satisfaction gap is 36 per cent. Over 15 per cent of children in Turkey rate their life satisfaction as 4 out of 10 or below. The smallest relative gap (24 per cent) is found in the Netherlands. </w:t>
      </w:r>
    </w:p>
    <w:p w14:paraId="68735840" w14:textId="77777777" w:rsidR="00E746E4" w:rsidRPr="00E746E4" w:rsidRDefault="00E746E4" w:rsidP="00E746E4">
      <w:pPr>
        <w:spacing w:after="0" w:line="240" w:lineRule="auto"/>
        <w:ind w:left="720"/>
        <w:jc w:val="both"/>
        <w:rPr>
          <w:rFonts w:ascii="Verdana" w:hAnsi="Verdana" w:cs="Arial"/>
          <w:sz w:val="20"/>
          <w:szCs w:val="20"/>
        </w:rPr>
      </w:pPr>
    </w:p>
    <w:p w14:paraId="2C0D84AA" w14:textId="77777777" w:rsidR="00E746E4" w:rsidRDefault="00E746E4" w:rsidP="00E746E4">
      <w:pPr>
        <w:numPr>
          <w:ilvl w:val="0"/>
          <w:numId w:val="9"/>
        </w:numPr>
        <w:spacing w:after="0" w:line="240" w:lineRule="auto"/>
        <w:jc w:val="both"/>
        <w:rPr>
          <w:rFonts w:ascii="Verdana" w:hAnsi="Verdana" w:cs="Arial"/>
          <w:sz w:val="20"/>
          <w:szCs w:val="20"/>
        </w:rPr>
      </w:pPr>
      <w:r>
        <w:rPr>
          <w:rFonts w:ascii="Verdana" w:hAnsi="Verdana" w:cs="Arial"/>
          <w:sz w:val="20"/>
          <w:szCs w:val="20"/>
        </w:rPr>
        <w:t xml:space="preserve">In </w:t>
      </w:r>
      <w:r w:rsidRPr="00E61646">
        <w:rPr>
          <w:rFonts w:ascii="Verdana" w:hAnsi="Verdana" w:cs="Arial"/>
          <w:sz w:val="20"/>
          <w:szCs w:val="20"/>
        </w:rPr>
        <w:t>Germany, Iceland</w:t>
      </w:r>
      <w:r>
        <w:rPr>
          <w:rFonts w:ascii="Verdana" w:hAnsi="Verdana" w:cs="Arial"/>
          <w:sz w:val="20"/>
          <w:szCs w:val="20"/>
        </w:rPr>
        <w:t>, Ireland, Italy, Spain, and the United States</w:t>
      </w:r>
      <w:r w:rsidRPr="00E61646">
        <w:rPr>
          <w:rFonts w:ascii="Verdana" w:hAnsi="Verdana" w:cs="Arial"/>
          <w:sz w:val="20"/>
          <w:szCs w:val="20"/>
        </w:rPr>
        <w:t>, either first- or second- generation migrant children reported lower life satisfaction than non-immigrant children</w:t>
      </w:r>
      <w:r>
        <w:rPr>
          <w:rFonts w:ascii="Verdana" w:hAnsi="Verdana" w:cs="Arial"/>
          <w:sz w:val="20"/>
          <w:szCs w:val="20"/>
        </w:rPr>
        <w:t>.</w:t>
      </w:r>
    </w:p>
    <w:p w14:paraId="1DA73970" w14:textId="77777777" w:rsidR="00E746E4" w:rsidRDefault="00E746E4" w:rsidP="00E746E4">
      <w:pPr>
        <w:spacing w:after="0" w:line="240" w:lineRule="auto"/>
        <w:ind w:left="720"/>
        <w:jc w:val="both"/>
        <w:rPr>
          <w:rFonts w:ascii="Verdana" w:hAnsi="Verdana" w:cs="Arial"/>
          <w:sz w:val="20"/>
          <w:szCs w:val="20"/>
        </w:rPr>
      </w:pPr>
    </w:p>
    <w:p w14:paraId="335342B3" w14:textId="77777777" w:rsidR="00E746E4" w:rsidRDefault="00E746E4" w:rsidP="00E746E4">
      <w:pPr>
        <w:numPr>
          <w:ilvl w:val="0"/>
          <w:numId w:val="9"/>
        </w:numPr>
        <w:spacing w:after="0" w:line="240" w:lineRule="auto"/>
        <w:jc w:val="both"/>
        <w:rPr>
          <w:rFonts w:ascii="Verdana" w:hAnsi="Verdana" w:cs="Arial"/>
          <w:sz w:val="20"/>
          <w:szCs w:val="20"/>
        </w:rPr>
      </w:pPr>
      <w:r>
        <w:rPr>
          <w:rFonts w:ascii="Verdana" w:hAnsi="Verdana" w:cs="Arial"/>
          <w:sz w:val="20"/>
          <w:szCs w:val="20"/>
        </w:rPr>
        <w:t xml:space="preserve">At ages 13 and 15 girls are more likely than boys in all countries to have fallen behind in life satisfaction. At age 13, the largest gender gaps are in Malta and Sweden.  </w:t>
      </w:r>
    </w:p>
    <w:p w14:paraId="1C328BAB" w14:textId="77777777" w:rsidR="00E746E4" w:rsidRDefault="00E746E4" w:rsidP="00E746E4">
      <w:pPr>
        <w:jc w:val="both"/>
        <w:rPr>
          <w:rFonts w:ascii="Verdana" w:hAnsi="Verdana"/>
          <w:sz w:val="20"/>
          <w:szCs w:val="20"/>
        </w:rPr>
      </w:pPr>
    </w:p>
    <w:p w14:paraId="5A24F344" w14:textId="77777777" w:rsidR="00E746E4" w:rsidRPr="00A3376D" w:rsidRDefault="00E746E4" w:rsidP="00E746E4">
      <w:pPr>
        <w:jc w:val="both"/>
        <w:rPr>
          <w:rFonts w:ascii="Verdana" w:hAnsi="Verdana" w:cs="Arial"/>
          <w:b/>
          <w:sz w:val="20"/>
          <w:szCs w:val="20"/>
        </w:rPr>
      </w:pPr>
      <w:r w:rsidRPr="00A3376D">
        <w:rPr>
          <w:rFonts w:ascii="Verdana" w:hAnsi="Verdana" w:cs="Arial"/>
          <w:b/>
          <w:sz w:val="20"/>
          <w:szCs w:val="20"/>
        </w:rPr>
        <w:t>Conclusions</w:t>
      </w:r>
    </w:p>
    <w:p w14:paraId="569550DE" w14:textId="77777777" w:rsidR="00E746E4" w:rsidRDefault="00E746E4" w:rsidP="00E746E4">
      <w:pPr>
        <w:numPr>
          <w:ilvl w:val="0"/>
          <w:numId w:val="10"/>
        </w:numPr>
        <w:spacing w:after="0" w:line="240" w:lineRule="auto"/>
        <w:jc w:val="both"/>
        <w:rPr>
          <w:rFonts w:ascii="Verdana" w:hAnsi="Verdana"/>
          <w:sz w:val="20"/>
          <w:szCs w:val="20"/>
        </w:rPr>
      </w:pPr>
      <w:r>
        <w:rPr>
          <w:rFonts w:ascii="Verdana" w:hAnsi="Verdana"/>
          <w:sz w:val="20"/>
          <w:szCs w:val="20"/>
        </w:rPr>
        <w:t>Evidence suggests that reducing bottom-end inequality is an effective way of improving child well-being outcomes for all.</w:t>
      </w:r>
    </w:p>
    <w:p w14:paraId="394C3455" w14:textId="77777777" w:rsidR="00E746E4" w:rsidRPr="00E746E4" w:rsidRDefault="00E746E4" w:rsidP="00E746E4">
      <w:pPr>
        <w:spacing w:after="0" w:line="240" w:lineRule="auto"/>
        <w:ind w:left="720"/>
        <w:jc w:val="both"/>
        <w:rPr>
          <w:rFonts w:ascii="Verdana" w:hAnsi="Verdana"/>
          <w:sz w:val="20"/>
          <w:szCs w:val="20"/>
        </w:rPr>
      </w:pPr>
    </w:p>
    <w:p w14:paraId="3B8078FF" w14:textId="77777777" w:rsidR="00E746E4" w:rsidRDefault="00E746E4" w:rsidP="00E746E4">
      <w:pPr>
        <w:numPr>
          <w:ilvl w:val="0"/>
          <w:numId w:val="10"/>
        </w:numPr>
        <w:spacing w:after="0" w:line="240" w:lineRule="auto"/>
        <w:jc w:val="both"/>
        <w:rPr>
          <w:rFonts w:ascii="Verdana" w:hAnsi="Verdana"/>
          <w:sz w:val="20"/>
          <w:szCs w:val="20"/>
        </w:rPr>
      </w:pPr>
      <w:r>
        <w:rPr>
          <w:rFonts w:ascii="Verdana" w:hAnsi="Verdana"/>
          <w:sz w:val="20"/>
          <w:szCs w:val="20"/>
        </w:rPr>
        <w:t xml:space="preserve">Countries with lower bottom-end inequality in child well-being have fewer children living in poverty, fewer children with very low educational achievement, fewer children reporting frequent health complaints, and fewer children reporting very low life satisfaction. </w:t>
      </w:r>
    </w:p>
    <w:p w14:paraId="4AAE997D" w14:textId="77777777" w:rsidR="00E746E4" w:rsidRDefault="00E746E4" w:rsidP="00E746E4">
      <w:pPr>
        <w:spacing w:after="0" w:line="240" w:lineRule="auto"/>
        <w:ind w:left="720"/>
        <w:jc w:val="both"/>
        <w:rPr>
          <w:rFonts w:ascii="Verdana" w:hAnsi="Verdana"/>
          <w:sz w:val="20"/>
          <w:szCs w:val="20"/>
        </w:rPr>
      </w:pPr>
    </w:p>
    <w:p w14:paraId="27433BDC" w14:textId="77777777" w:rsidR="00E746E4" w:rsidRDefault="00E746E4" w:rsidP="00E746E4">
      <w:pPr>
        <w:numPr>
          <w:ilvl w:val="0"/>
          <w:numId w:val="10"/>
        </w:numPr>
        <w:spacing w:after="0" w:line="240" w:lineRule="auto"/>
        <w:jc w:val="both"/>
        <w:rPr>
          <w:rFonts w:ascii="Verdana" w:hAnsi="Verdana"/>
          <w:sz w:val="20"/>
          <w:szCs w:val="20"/>
        </w:rPr>
      </w:pPr>
      <w:r>
        <w:rPr>
          <w:rFonts w:ascii="Verdana" w:hAnsi="Verdana"/>
          <w:sz w:val="20"/>
          <w:szCs w:val="20"/>
        </w:rPr>
        <w:t xml:space="preserve">In all countries, bottom-end inequality has persisted over time, and progress in reducing gaps has often been limited, meaning children in the bottom 10 per cent are not only being denied the best possible start in life, but that their opportunities to flourish in adult life are often being harmed, too. </w:t>
      </w:r>
    </w:p>
    <w:p w14:paraId="595C2C87" w14:textId="77777777" w:rsidR="00E746E4" w:rsidRDefault="00E746E4" w:rsidP="00E746E4">
      <w:pPr>
        <w:spacing w:after="0" w:line="240" w:lineRule="auto"/>
        <w:ind w:left="720"/>
        <w:jc w:val="both"/>
        <w:rPr>
          <w:rFonts w:ascii="Verdana" w:hAnsi="Verdana"/>
          <w:sz w:val="20"/>
          <w:szCs w:val="20"/>
        </w:rPr>
      </w:pPr>
    </w:p>
    <w:p w14:paraId="40252D6E" w14:textId="77777777" w:rsidR="00E746E4" w:rsidRDefault="00E746E4" w:rsidP="00E746E4">
      <w:pPr>
        <w:numPr>
          <w:ilvl w:val="0"/>
          <w:numId w:val="10"/>
        </w:numPr>
        <w:spacing w:after="0" w:line="240" w:lineRule="auto"/>
        <w:jc w:val="both"/>
        <w:rPr>
          <w:rFonts w:ascii="Verdana" w:hAnsi="Verdana"/>
          <w:sz w:val="20"/>
          <w:szCs w:val="20"/>
        </w:rPr>
      </w:pPr>
      <w:r>
        <w:rPr>
          <w:rFonts w:ascii="Verdana" w:hAnsi="Verdana"/>
          <w:sz w:val="20"/>
          <w:szCs w:val="20"/>
        </w:rPr>
        <w:t xml:space="preserve">Childhood is a formative and fleeting stage of life. Taking children’s rights seriously means acting with urgency to address the disadvantages faced by those children who are falling furthest behind. </w:t>
      </w:r>
    </w:p>
    <w:p w14:paraId="6D4CAE7F" w14:textId="77777777" w:rsidR="00E746E4" w:rsidRDefault="00E746E4" w:rsidP="00E746E4">
      <w:pPr>
        <w:rPr>
          <w:rFonts w:ascii="Verdana" w:hAnsi="Verdana"/>
          <w:sz w:val="20"/>
          <w:szCs w:val="20"/>
        </w:rPr>
      </w:pPr>
    </w:p>
    <w:p w14:paraId="31CF40AA" w14:textId="77777777" w:rsidR="00E746E4" w:rsidRDefault="00E746E4" w:rsidP="00E746E4">
      <w:pPr>
        <w:rPr>
          <w:rFonts w:ascii="Verdana" w:hAnsi="Verdana"/>
          <w:b/>
          <w:sz w:val="20"/>
          <w:szCs w:val="20"/>
        </w:rPr>
      </w:pPr>
      <w:r w:rsidRPr="003C3E54">
        <w:rPr>
          <w:rFonts w:ascii="Verdana" w:hAnsi="Verdana"/>
          <w:b/>
          <w:sz w:val="20"/>
          <w:szCs w:val="20"/>
        </w:rPr>
        <w:t xml:space="preserve">Principles and recommendations </w:t>
      </w:r>
    </w:p>
    <w:p w14:paraId="76F07D6A" w14:textId="77777777" w:rsidR="00E746E4" w:rsidRDefault="00E746E4" w:rsidP="00E746E4">
      <w:pPr>
        <w:rPr>
          <w:rFonts w:ascii="Verdana" w:hAnsi="Verdana"/>
          <w:sz w:val="20"/>
          <w:szCs w:val="20"/>
        </w:rPr>
      </w:pPr>
      <w:r>
        <w:rPr>
          <w:rFonts w:ascii="Verdana" w:hAnsi="Verdana"/>
          <w:sz w:val="20"/>
          <w:szCs w:val="20"/>
        </w:rPr>
        <w:t>Analysis in the report suggests the following principles and recommendations for governments to consider in strengthening child well-being:</w:t>
      </w:r>
    </w:p>
    <w:p w14:paraId="03084C8A" w14:textId="77777777" w:rsidR="00E746E4" w:rsidRPr="003C3E54" w:rsidRDefault="00E746E4" w:rsidP="00E746E4">
      <w:pPr>
        <w:numPr>
          <w:ilvl w:val="0"/>
          <w:numId w:val="11"/>
        </w:numPr>
        <w:spacing w:after="0" w:line="240" w:lineRule="auto"/>
        <w:rPr>
          <w:rFonts w:ascii="Verdana" w:hAnsi="Verdana"/>
          <w:b/>
          <w:sz w:val="20"/>
          <w:szCs w:val="20"/>
        </w:rPr>
      </w:pPr>
      <w:r>
        <w:rPr>
          <w:rFonts w:ascii="Verdana" w:hAnsi="Verdana"/>
          <w:sz w:val="20"/>
          <w:szCs w:val="20"/>
        </w:rPr>
        <w:t>Protect the incomes of households with the poorest children.</w:t>
      </w:r>
    </w:p>
    <w:p w14:paraId="706CF583" w14:textId="77777777" w:rsidR="00E746E4" w:rsidRPr="003C3E54" w:rsidRDefault="00E746E4" w:rsidP="00E746E4">
      <w:pPr>
        <w:numPr>
          <w:ilvl w:val="0"/>
          <w:numId w:val="11"/>
        </w:numPr>
        <w:spacing w:after="0" w:line="240" w:lineRule="auto"/>
        <w:rPr>
          <w:rFonts w:ascii="Verdana" w:hAnsi="Verdana"/>
          <w:b/>
          <w:sz w:val="20"/>
          <w:szCs w:val="20"/>
        </w:rPr>
      </w:pPr>
      <w:r>
        <w:rPr>
          <w:rFonts w:ascii="Verdana" w:hAnsi="Verdana"/>
          <w:sz w:val="20"/>
          <w:szCs w:val="20"/>
        </w:rPr>
        <w:t xml:space="preserve">Focus on improving the educational achievements of disadvantaged learners. </w:t>
      </w:r>
    </w:p>
    <w:p w14:paraId="1F13A951" w14:textId="77777777" w:rsidR="00E746E4" w:rsidRPr="003C3E54" w:rsidRDefault="00E746E4" w:rsidP="00E746E4">
      <w:pPr>
        <w:numPr>
          <w:ilvl w:val="0"/>
          <w:numId w:val="11"/>
        </w:numPr>
        <w:spacing w:after="0" w:line="240" w:lineRule="auto"/>
        <w:rPr>
          <w:rFonts w:ascii="Verdana" w:hAnsi="Verdana"/>
          <w:b/>
          <w:sz w:val="20"/>
          <w:szCs w:val="20"/>
        </w:rPr>
      </w:pPr>
      <w:r>
        <w:rPr>
          <w:rFonts w:ascii="Verdana" w:hAnsi="Verdana"/>
          <w:sz w:val="20"/>
          <w:szCs w:val="20"/>
        </w:rPr>
        <w:t>Promote and support healthy lifestyles for all children.</w:t>
      </w:r>
    </w:p>
    <w:p w14:paraId="5053433E" w14:textId="77777777" w:rsidR="00E746E4" w:rsidRPr="00A543C8" w:rsidRDefault="00E746E4" w:rsidP="00E746E4">
      <w:pPr>
        <w:numPr>
          <w:ilvl w:val="0"/>
          <w:numId w:val="11"/>
        </w:numPr>
        <w:spacing w:after="0" w:line="240" w:lineRule="auto"/>
        <w:rPr>
          <w:rFonts w:ascii="Verdana" w:hAnsi="Verdana"/>
          <w:sz w:val="20"/>
          <w:szCs w:val="20"/>
        </w:rPr>
      </w:pPr>
      <w:r w:rsidRPr="00A543C8">
        <w:rPr>
          <w:rFonts w:ascii="Verdana" w:hAnsi="Verdana"/>
          <w:sz w:val="20"/>
          <w:szCs w:val="20"/>
        </w:rPr>
        <w:t xml:space="preserve">Take data on subjective well-being seriously. </w:t>
      </w:r>
    </w:p>
    <w:p w14:paraId="254791EB" w14:textId="77777777" w:rsidR="00E746E4" w:rsidRPr="006E57C9" w:rsidRDefault="00E746E4" w:rsidP="00E746E4">
      <w:pPr>
        <w:numPr>
          <w:ilvl w:val="0"/>
          <w:numId w:val="11"/>
        </w:numPr>
        <w:spacing w:after="0" w:line="240" w:lineRule="auto"/>
        <w:rPr>
          <w:rFonts w:ascii="Verdana" w:hAnsi="Verdana"/>
          <w:b/>
          <w:sz w:val="20"/>
          <w:szCs w:val="20"/>
        </w:rPr>
      </w:pPr>
      <w:r>
        <w:rPr>
          <w:rFonts w:ascii="Verdana" w:hAnsi="Verdana"/>
          <w:sz w:val="20"/>
          <w:szCs w:val="20"/>
        </w:rPr>
        <w:t xml:space="preserve">Place equity at the heart of child well-being agendas. </w:t>
      </w:r>
    </w:p>
    <w:p w14:paraId="45B5A988" w14:textId="77777777" w:rsidR="00E746E4" w:rsidRPr="003C3E54" w:rsidRDefault="00E746E4" w:rsidP="00E746E4">
      <w:pPr>
        <w:numPr>
          <w:ilvl w:val="0"/>
          <w:numId w:val="11"/>
        </w:numPr>
        <w:spacing w:after="0" w:line="240" w:lineRule="auto"/>
        <w:rPr>
          <w:rFonts w:ascii="Verdana" w:hAnsi="Verdana"/>
          <w:b/>
          <w:sz w:val="20"/>
          <w:szCs w:val="20"/>
        </w:rPr>
      </w:pPr>
      <w:r>
        <w:rPr>
          <w:rFonts w:ascii="Verdana" w:hAnsi="Verdana"/>
          <w:sz w:val="20"/>
          <w:szCs w:val="20"/>
        </w:rPr>
        <w:t>Children’s voices should be built into data-collection processes.</w:t>
      </w:r>
    </w:p>
    <w:p w14:paraId="653592FB" w14:textId="77777777" w:rsidR="00A45E23" w:rsidRDefault="002A26E7" w:rsidP="00C46DB7">
      <w:pPr>
        <w:spacing w:after="240" w:line="240" w:lineRule="auto"/>
        <w:jc w:val="both"/>
        <w:rPr>
          <w:rFonts w:ascii="Verdana" w:hAnsi="Verdana" w:cs="Arial"/>
          <w:b/>
          <w:sz w:val="20"/>
          <w:szCs w:val="20"/>
          <w:u w:val="single"/>
        </w:rPr>
      </w:pPr>
      <w:r>
        <w:rPr>
          <w:rFonts w:ascii="Verdana" w:hAnsi="Verdana" w:cs="Arial"/>
          <w:b/>
          <w:sz w:val="20"/>
          <w:szCs w:val="20"/>
          <w:u w:val="single"/>
        </w:rPr>
        <w:br/>
      </w:r>
    </w:p>
    <w:p w14:paraId="53549973" w14:textId="77777777" w:rsidR="00A45E23" w:rsidRDefault="00A45E23">
      <w:pPr>
        <w:rPr>
          <w:rFonts w:ascii="Verdana" w:hAnsi="Verdana" w:cs="Arial"/>
          <w:b/>
          <w:sz w:val="20"/>
          <w:szCs w:val="20"/>
          <w:u w:val="single"/>
        </w:rPr>
      </w:pPr>
      <w:r>
        <w:rPr>
          <w:rFonts w:ascii="Verdana" w:hAnsi="Verdana" w:cs="Arial"/>
          <w:b/>
          <w:sz w:val="20"/>
          <w:szCs w:val="20"/>
          <w:u w:val="single"/>
        </w:rPr>
        <w:br w:type="page"/>
      </w:r>
    </w:p>
    <w:p w14:paraId="6F8FAAB0" w14:textId="77777777" w:rsidR="002F35AB" w:rsidRPr="00446392" w:rsidRDefault="00A5384F" w:rsidP="00A5384F">
      <w:pPr>
        <w:spacing w:after="240" w:line="240" w:lineRule="auto"/>
        <w:rPr>
          <w:rFonts w:ascii="Verdana" w:hAnsi="Verdana" w:cs="Arial"/>
          <w:b/>
          <w:color w:val="FF0000"/>
          <w:sz w:val="20"/>
          <w:szCs w:val="20"/>
          <w:u w:val="single"/>
        </w:rPr>
      </w:pPr>
      <w:r>
        <w:rPr>
          <w:rFonts w:ascii="Verdana" w:hAnsi="Verdana" w:cs="Arial"/>
          <w:b/>
          <w:sz w:val="20"/>
          <w:szCs w:val="20"/>
          <w:u w:val="single"/>
        </w:rPr>
        <w:lastRenderedPageBreak/>
        <w:t xml:space="preserve">BACKGROUND </w:t>
      </w:r>
      <w:r w:rsidR="00C46DB7">
        <w:rPr>
          <w:rFonts w:ascii="Verdana" w:hAnsi="Verdana" w:cs="Arial"/>
          <w:b/>
          <w:sz w:val="20"/>
          <w:szCs w:val="20"/>
          <w:u w:val="single"/>
        </w:rPr>
        <w:t>QUESTIONS</w:t>
      </w:r>
      <w:r w:rsidR="00C46DB7">
        <w:rPr>
          <w:rFonts w:ascii="Verdana" w:hAnsi="Verdana" w:cs="Arial"/>
          <w:b/>
          <w:sz w:val="20"/>
          <w:szCs w:val="20"/>
          <w:u w:val="single"/>
        </w:rPr>
        <w:br/>
      </w:r>
      <w:r w:rsidR="00C46DB7">
        <w:rPr>
          <w:rFonts w:ascii="Verdana" w:hAnsi="Verdana" w:cs="Arial"/>
          <w:b/>
          <w:sz w:val="20"/>
          <w:szCs w:val="20"/>
          <w:u w:val="single"/>
        </w:rPr>
        <w:br/>
      </w:r>
      <w:r w:rsidR="00C46DB7" w:rsidRPr="00446392">
        <w:rPr>
          <w:rFonts w:ascii="Verdana" w:hAnsi="Verdana" w:cs="Arial"/>
          <w:b/>
          <w:color w:val="FF0000"/>
          <w:sz w:val="20"/>
          <w:szCs w:val="20"/>
          <w:u w:val="single"/>
        </w:rPr>
        <w:t xml:space="preserve">I. </w:t>
      </w:r>
      <w:r w:rsidR="002F35AB" w:rsidRPr="00446392">
        <w:rPr>
          <w:rFonts w:ascii="Verdana" w:hAnsi="Verdana" w:cs="Arial"/>
          <w:b/>
          <w:color w:val="FF0000"/>
          <w:sz w:val="20"/>
          <w:szCs w:val="20"/>
          <w:u w:val="single"/>
        </w:rPr>
        <w:t>REPORT CARD 1</w:t>
      </w:r>
      <w:r w:rsidR="00C46DB7" w:rsidRPr="00446392">
        <w:rPr>
          <w:rFonts w:ascii="Verdana" w:hAnsi="Verdana" w:cs="Arial"/>
          <w:b/>
          <w:color w:val="FF0000"/>
          <w:sz w:val="20"/>
          <w:szCs w:val="20"/>
          <w:u w:val="single"/>
        </w:rPr>
        <w:t>3</w:t>
      </w:r>
    </w:p>
    <w:p w14:paraId="759420F0" w14:textId="77777777" w:rsidR="0048423F" w:rsidRDefault="00C46DB7" w:rsidP="0048423F">
      <w:pPr>
        <w:spacing w:after="240" w:line="240" w:lineRule="auto"/>
        <w:jc w:val="both"/>
        <w:rPr>
          <w:rFonts w:ascii="Verdana" w:hAnsi="Verdana" w:cs="Arial"/>
          <w:b/>
          <w:sz w:val="20"/>
          <w:szCs w:val="20"/>
        </w:rPr>
      </w:pPr>
      <w:r w:rsidRPr="00C46DB7">
        <w:rPr>
          <w:rFonts w:ascii="Verdana" w:hAnsi="Verdana" w:cs="Arial"/>
          <w:b/>
          <w:sz w:val="20"/>
          <w:szCs w:val="20"/>
        </w:rPr>
        <w:t>What is Report Card 1</w:t>
      </w:r>
      <w:r w:rsidR="0048423F">
        <w:rPr>
          <w:rFonts w:ascii="Verdana" w:hAnsi="Verdana" w:cs="Arial"/>
          <w:b/>
          <w:sz w:val="20"/>
          <w:szCs w:val="20"/>
        </w:rPr>
        <w:t>3 about?</w:t>
      </w:r>
    </w:p>
    <w:p w14:paraId="4EC092E5" w14:textId="77777777" w:rsidR="00C46DB7" w:rsidRDefault="0048423F" w:rsidP="0048423F">
      <w:pPr>
        <w:spacing w:after="240" w:line="240" w:lineRule="auto"/>
        <w:jc w:val="both"/>
        <w:rPr>
          <w:rFonts w:ascii="Verdana" w:hAnsi="Verdana" w:cs="Arial"/>
          <w:sz w:val="20"/>
          <w:szCs w:val="20"/>
        </w:rPr>
      </w:pPr>
      <w:r w:rsidRPr="0048423F">
        <w:rPr>
          <w:rFonts w:ascii="Verdana" w:hAnsi="Verdana" w:cs="Arial"/>
          <w:sz w:val="20"/>
          <w:szCs w:val="20"/>
        </w:rPr>
        <w:t xml:space="preserve">Report Card 13 </w:t>
      </w:r>
      <w:r w:rsidRPr="0048423F">
        <w:rPr>
          <w:rFonts w:ascii="Verdana" w:hAnsi="Verdana" w:cs="Arial"/>
          <w:i/>
          <w:sz w:val="20"/>
          <w:szCs w:val="20"/>
        </w:rPr>
        <w:t>Fairness for Children: A league table of inequality in child well-being in rich countries</w:t>
      </w:r>
      <w:r w:rsidRPr="0048423F">
        <w:rPr>
          <w:rFonts w:ascii="Verdana" w:hAnsi="Verdana" w:cs="Arial"/>
          <w:sz w:val="20"/>
          <w:szCs w:val="20"/>
        </w:rPr>
        <w:t xml:space="preserve"> provides a detailed analysis of inequality in 41 high-income countries. </w:t>
      </w:r>
      <w:r w:rsidRPr="0048423F">
        <w:rPr>
          <w:rFonts w:ascii="Verdana" w:hAnsi="Verdana" w:cs="Arial"/>
          <w:sz w:val="20"/>
          <w:szCs w:val="20"/>
        </w:rPr>
        <w:br/>
      </w:r>
      <w:r w:rsidRPr="0048423F">
        <w:rPr>
          <w:rFonts w:ascii="Verdana" w:hAnsi="Verdana" w:cs="Arial"/>
          <w:sz w:val="20"/>
          <w:szCs w:val="20"/>
        </w:rPr>
        <w:br/>
        <w:t>The report</w:t>
      </w:r>
      <w:r w:rsidRPr="0048423F">
        <w:t xml:space="preserve"> </w:t>
      </w:r>
      <w:r>
        <w:t xml:space="preserve">is </w:t>
      </w:r>
      <w:r w:rsidRPr="0048423F">
        <w:rPr>
          <w:rFonts w:ascii="Verdana" w:hAnsi="Verdana" w:cs="Arial"/>
          <w:sz w:val="20"/>
          <w:szCs w:val="20"/>
        </w:rPr>
        <w:t xml:space="preserve">the latest edition of the Innocenti Report Card series which assesses child well-being in </w:t>
      </w:r>
      <w:r>
        <w:rPr>
          <w:rFonts w:ascii="Verdana" w:hAnsi="Verdana" w:cs="Arial"/>
          <w:sz w:val="20"/>
          <w:szCs w:val="20"/>
        </w:rPr>
        <w:t>EU and OECD</w:t>
      </w:r>
      <w:r w:rsidRPr="0048423F">
        <w:rPr>
          <w:rFonts w:ascii="Verdana" w:hAnsi="Verdana" w:cs="Arial"/>
          <w:sz w:val="20"/>
          <w:szCs w:val="20"/>
        </w:rPr>
        <w:t xml:space="preserve"> countries. Produced by the UNICEF Office of Research</w:t>
      </w:r>
      <w:r w:rsidR="00DE4558">
        <w:rPr>
          <w:rFonts w:ascii="Verdana" w:hAnsi="Verdana" w:cs="Arial"/>
          <w:sz w:val="20"/>
          <w:szCs w:val="20"/>
        </w:rPr>
        <w:t xml:space="preserve"> - Innocenti</w:t>
      </w:r>
      <w:r>
        <w:rPr>
          <w:rFonts w:ascii="Verdana" w:hAnsi="Verdana" w:cs="Arial"/>
          <w:sz w:val="20"/>
          <w:szCs w:val="20"/>
        </w:rPr>
        <w:t>, the report</w:t>
      </w:r>
      <w:r w:rsidRPr="0048423F">
        <w:rPr>
          <w:rFonts w:ascii="Verdana" w:hAnsi="Verdana" w:cs="Arial"/>
          <w:sz w:val="20"/>
          <w:szCs w:val="20"/>
        </w:rPr>
        <w:t xml:space="preserve"> focuses on gaps between children at the bottom and those </w:t>
      </w:r>
      <w:r w:rsidR="00DE4558">
        <w:rPr>
          <w:rFonts w:ascii="Verdana" w:hAnsi="Verdana" w:cs="Arial"/>
          <w:sz w:val="20"/>
          <w:szCs w:val="20"/>
        </w:rPr>
        <w:t>at</w:t>
      </w:r>
      <w:r w:rsidR="00DE4558" w:rsidRPr="0048423F">
        <w:rPr>
          <w:rFonts w:ascii="Verdana" w:hAnsi="Verdana" w:cs="Arial"/>
          <w:sz w:val="20"/>
          <w:szCs w:val="20"/>
        </w:rPr>
        <w:t xml:space="preserve"> </w:t>
      </w:r>
      <w:r w:rsidRPr="0048423F">
        <w:rPr>
          <w:rFonts w:ascii="Verdana" w:hAnsi="Verdana" w:cs="Arial"/>
          <w:sz w:val="20"/>
          <w:szCs w:val="20"/>
        </w:rPr>
        <w:t xml:space="preserve">the </w:t>
      </w:r>
      <w:r w:rsidR="00DE4558">
        <w:rPr>
          <w:rFonts w:ascii="Verdana" w:hAnsi="Verdana" w:cs="Arial"/>
          <w:sz w:val="20"/>
          <w:szCs w:val="20"/>
        </w:rPr>
        <w:t xml:space="preserve">median (the </w:t>
      </w:r>
      <w:r w:rsidRPr="0048423F">
        <w:rPr>
          <w:rFonts w:ascii="Verdana" w:hAnsi="Verdana" w:cs="Arial"/>
          <w:sz w:val="20"/>
          <w:szCs w:val="20"/>
        </w:rPr>
        <w:t>middle</w:t>
      </w:r>
      <w:r w:rsidR="00DE4558">
        <w:rPr>
          <w:rFonts w:ascii="Verdana" w:hAnsi="Verdana" w:cs="Arial"/>
          <w:sz w:val="20"/>
          <w:szCs w:val="20"/>
        </w:rPr>
        <w:t xml:space="preserve"> of the distribution)</w:t>
      </w:r>
      <w:r w:rsidRPr="0048423F">
        <w:rPr>
          <w:rFonts w:ascii="Verdana" w:hAnsi="Verdana" w:cs="Arial"/>
          <w:sz w:val="20"/>
          <w:szCs w:val="20"/>
        </w:rPr>
        <w:t>.</w:t>
      </w:r>
      <w:r w:rsidR="001E389D">
        <w:rPr>
          <w:rFonts w:ascii="Verdana" w:hAnsi="Verdana" w:cs="Arial"/>
          <w:sz w:val="20"/>
          <w:szCs w:val="20"/>
        </w:rPr>
        <w:t xml:space="preserve"> By ranking countries against each other, the report</w:t>
      </w:r>
      <w:r w:rsidRPr="0048423F">
        <w:rPr>
          <w:rFonts w:ascii="Verdana" w:hAnsi="Verdana" w:cs="Arial"/>
          <w:sz w:val="20"/>
          <w:szCs w:val="20"/>
        </w:rPr>
        <w:t xml:space="preserve"> aims to highlight how far children are falling behind in the dimensions of income, education, health, and life satisfaction.</w:t>
      </w:r>
    </w:p>
    <w:p w14:paraId="4CD030D6" w14:textId="77777777" w:rsidR="0061338E" w:rsidRPr="00264D2A" w:rsidRDefault="0061338E" w:rsidP="0061338E">
      <w:pPr>
        <w:spacing w:after="240" w:line="240" w:lineRule="auto"/>
        <w:jc w:val="both"/>
        <w:rPr>
          <w:rFonts w:ascii="Verdana" w:hAnsi="Verdana" w:cs="Arial"/>
          <w:b/>
          <w:sz w:val="20"/>
          <w:szCs w:val="20"/>
        </w:rPr>
      </w:pPr>
      <w:r w:rsidRPr="00264D2A">
        <w:rPr>
          <w:rFonts w:ascii="Verdana" w:hAnsi="Verdana" w:cs="Arial"/>
          <w:b/>
          <w:sz w:val="20"/>
          <w:szCs w:val="20"/>
        </w:rPr>
        <w:t>Why does UNICEF’s Report Card 13 focus on</w:t>
      </w:r>
      <w:r>
        <w:rPr>
          <w:rFonts w:ascii="Verdana" w:hAnsi="Verdana" w:cs="Arial"/>
          <w:b/>
          <w:sz w:val="20"/>
          <w:szCs w:val="20"/>
        </w:rPr>
        <w:t xml:space="preserve"> high-income</w:t>
      </w:r>
      <w:r w:rsidRPr="00264D2A">
        <w:rPr>
          <w:rFonts w:ascii="Verdana" w:hAnsi="Verdana" w:cs="Arial"/>
          <w:b/>
          <w:sz w:val="20"/>
          <w:szCs w:val="20"/>
        </w:rPr>
        <w:t xml:space="preserve"> countries?</w:t>
      </w:r>
    </w:p>
    <w:p w14:paraId="69EE4CD1" w14:textId="77777777" w:rsidR="0061338E" w:rsidRDefault="0061338E" w:rsidP="0061338E">
      <w:pPr>
        <w:spacing w:after="240" w:line="240" w:lineRule="auto"/>
        <w:jc w:val="both"/>
        <w:rPr>
          <w:rFonts w:ascii="Verdana" w:hAnsi="Verdana" w:cs="Arial"/>
          <w:sz w:val="20"/>
          <w:szCs w:val="20"/>
          <w:shd w:val="clear" w:color="auto" w:fill="FFFFFF"/>
        </w:rPr>
      </w:pPr>
      <w:r w:rsidRPr="0061338E">
        <w:rPr>
          <w:rFonts w:ascii="Verdana" w:hAnsi="Verdana" w:cs="Arial"/>
          <w:sz w:val="20"/>
          <w:szCs w:val="20"/>
          <w:shd w:val="clear" w:color="auto" w:fill="FFFFFF"/>
        </w:rPr>
        <w:t xml:space="preserve">In keeping with UNICEF's global mandate to advocate </w:t>
      </w:r>
      <w:r>
        <w:rPr>
          <w:rFonts w:ascii="Verdana" w:hAnsi="Verdana" w:cs="Arial"/>
          <w:sz w:val="20"/>
          <w:szCs w:val="20"/>
          <w:shd w:val="clear" w:color="auto" w:fill="FFFFFF"/>
        </w:rPr>
        <w:t>for the rights of all children, especially the most vulnerable and disadvantaged, the Innocenti Report Card S</w:t>
      </w:r>
      <w:r w:rsidRPr="0061338E">
        <w:rPr>
          <w:rFonts w:ascii="Verdana" w:hAnsi="Verdana" w:cs="Arial"/>
          <w:sz w:val="20"/>
          <w:szCs w:val="20"/>
          <w:shd w:val="clear" w:color="auto" w:fill="FFFFFF"/>
        </w:rPr>
        <w:t xml:space="preserve">eries focuses on the well-being of children in developed countries. Report Card 13 covers 41 countries in the European Union and/or the Organisation for Economic Co-operation and Development. The selection of countries has been driven by the availability of comparable sources of data as well as common frameworks for monitoring child well-being. </w:t>
      </w:r>
    </w:p>
    <w:p w14:paraId="7605EE46" w14:textId="77777777" w:rsidR="001E389D" w:rsidRPr="00264D2A" w:rsidRDefault="001E389D" w:rsidP="001E389D">
      <w:pPr>
        <w:spacing w:after="240" w:line="240" w:lineRule="auto"/>
        <w:jc w:val="both"/>
        <w:rPr>
          <w:rFonts w:ascii="Verdana" w:hAnsi="Verdana" w:cs="Arial"/>
          <w:b/>
          <w:sz w:val="20"/>
          <w:szCs w:val="20"/>
        </w:rPr>
      </w:pPr>
      <w:r w:rsidRPr="00264D2A">
        <w:rPr>
          <w:rFonts w:ascii="Verdana" w:hAnsi="Verdana" w:cs="Arial"/>
          <w:b/>
          <w:sz w:val="20"/>
          <w:szCs w:val="20"/>
        </w:rPr>
        <w:t>What is the purpose of ranking countries in league tables?</w:t>
      </w:r>
    </w:p>
    <w:p w14:paraId="5C92F966" w14:textId="77777777" w:rsidR="001E389D" w:rsidRPr="0061338E" w:rsidRDefault="001E389D" w:rsidP="001E389D">
      <w:pPr>
        <w:spacing w:line="240" w:lineRule="auto"/>
        <w:jc w:val="both"/>
        <w:rPr>
          <w:rFonts w:ascii="Verdana" w:hAnsi="Verdana" w:cs="Arial"/>
          <w:sz w:val="20"/>
          <w:szCs w:val="20"/>
          <w:lang w:val="en-US"/>
        </w:rPr>
      </w:pPr>
      <w:r w:rsidRPr="0061338E">
        <w:rPr>
          <w:rFonts w:ascii="Verdana" w:hAnsi="Verdana" w:cs="Arial"/>
          <w:sz w:val="20"/>
          <w:szCs w:val="20"/>
        </w:rPr>
        <w:t xml:space="preserve">Although monitoring at the national level remains crucial to immediately address possible gaps and failings, international rankings – as presented in this report – can highlight strengths and weaknesses in individual countries and demonstrate what is achievable. Comparative data demonstrate that child well-being is, by and large, shaped by policies. Findings from these data can indicate to politicians, press and public how their country’s performance in protecting children compares with the record of other nations at a similar level of development. </w:t>
      </w:r>
      <w:r w:rsidRPr="0061338E">
        <w:rPr>
          <w:rFonts w:ascii="Verdana" w:hAnsi="Verdana" w:cs="Arial"/>
          <w:sz w:val="20"/>
          <w:szCs w:val="20"/>
          <w:lang w:val="en-US"/>
        </w:rPr>
        <w:t xml:space="preserve">Using this means of international comparison it is possible to show and prove that the problems we are looking at are not inevitable but policy susceptible – and that some countries are clearly doing much better than others. </w:t>
      </w:r>
    </w:p>
    <w:p w14:paraId="0D76B592" w14:textId="77777777" w:rsidR="0092644B" w:rsidRPr="00446392" w:rsidRDefault="0092644B" w:rsidP="00C46DB7">
      <w:pPr>
        <w:spacing w:after="240" w:line="240" w:lineRule="auto"/>
        <w:jc w:val="both"/>
        <w:rPr>
          <w:rFonts w:ascii="Verdana" w:hAnsi="Verdana" w:cs="Arial"/>
          <w:b/>
          <w:color w:val="FF0000"/>
          <w:sz w:val="20"/>
          <w:szCs w:val="20"/>
          <w:u w:val="single"/>
        </w:rPr>
      </w:pPr>
      <w:r w:rsidRPr="00446392">
        <w:rPr>
          <w:rFonts w:ascii="Verdana" w:hAnsi="Verdana" w:cs="Arial"/>
          <w:b/>
          <w:color w:val="FF0000"/>
          <w:sz w:val="20"/>
          <w:szCs w:val="20"/>
          <w:u w:val="single"/>
        </w:rPr>
        <w:t>II. THE METHODOLOGY</w:t>
      </w:r>
    </w:p>
    <w:p w14:paraId="1E204AA7" w14:textId="77777777" w:rsidR="00264D2A" w:rsidRPr="00264D2A" w:rsidRDefault="0092644B" w:rsidP="00C46DB7">
      <w:pPr>
        <w:spacing w:after="240" w:line="240" w:lineRule="auto"/>
        <w:jc w:val="both"/>
        <w:rPr>
          <w:rFonts w:ascii="Verdana" w:hAnsi="Verdana" w:cs="Arial"/>
          <w:b/>
          <w:sz w:val="20"/>
          <w:szCs w:val="20"/>
        </w:rPr>
      </w:pPr>
      <w:r>
        <w:rPr>
          <w:rFonts w:ascii="Verdana" w:hAnsi="Verdana" w:cs="Arial"/>
          <w:b/>
          <w:sz w:val="20"/>
          <w:szCs w:val="20"/>
        </w:rPr>
        <w:t>How has UNICEF measured inequality among children?</w:t>
      </w:r>
    </w:p>
    <w:p w14:paraId="57DCAD60" w14:textId="77777777" w:rsidR="0092644B" w:rsidRPr="002B324F" w:rsidRDefault="002B324F" w:rsidP="00365D2F">
      <w:pPr>
        <w:spacing w:after="240" w:line="240" w:lineRule="auto"/>
        <w:jc w:val="both"/>
        <w:rPr>
          <w:rFonts w:ascii="Verdana" w:hAnsi="Verdana" w:cs="Arial"/>
          <w:sz w:val="20"/>
          <w:szCs w:val="20"/>
        </w:rPr>
      </w:pPr>
      <w:r w:rsidRPr="002B324F">
        <w:rPr>
          <w:rFonts w:ascii="Verdana" w:hAnsi="Verdana" w:cs="Arial"/>
          <w:sz w:val="20"/>
          <w:szCs w:val="20"/>
        </w:rPr>
        <w:t>Report Card 13 measu</w:t>
      </w:r>
      <w:r>
        <w:rPr>
          <w:rFonts w:ascii="Verdana" w:hAnsi="Verdana" w:cs="Arial"/>
          <w:sz w:val="20"/>
          <w:szCs w:val="20"/>
        </w:rPr>
        <w:t xml:space="preserve">res inequality in four dimensions - </w:t>
      </w:r>
      <w:r w:rsidRPr="002B324F">
        <w:rPr>
          <w:rFonts w:ascii="Verdana" w:hAnsi="Verdana" w:cs="Arial"/>
          <w:sz w:val="20"/>
          <w:szCs w:val="20"/>
        </w:rPr>
        <w:t>income, education, health and life satisfaction</w:t>
      </w:r>
      <w:r>
        <w:rPr>
          <w:rFonts w:ascii="Verdana" w:hAnsi="Verdana" w:cs="Arial"/>
          <w:sz w:val="20"/>
          <w:szCs w:val="20"/>
        </w:rPr>
        <w:t xml:space="preserve"> by using three</w:t>
      </w:r>
      <w:r w:rsidRPr="002B324F">
        <w:rPr>
          <w:rFonts w:ascii="Verdana" w:hAnsi="Verdana" w:cs="Arial"/>
          <w:sz w:val="20"/>
          <w:szCs w:val="20"/>
        </w:rPr>
        <w:t xml:space="preserve"> different measures focusing on the gap between the median and the bottom</w:t>
      </w:r>
      <w:r w:rsidR="0060183D">
        <w:rPr>
          <w:rFonts w:ascii="Verdana" w:hAnsi="Verdana" w:cs="Arial"/>
          <w:sz w:val="20"/>
          <w:szCs w:val="20"/>
        </w:rPr>
        <w:t xml:space="preserve"> 10 per cent</w:t>
      </w:r>
      <w:r>
        <w:rPr>
          <w:rFonts w:ascii="Verdana" w:hAnsi="Verdana" w:cs="Arial"/>
          <w:sz w:val="20"/>
          <w:szCs w:val="20"/>
        </w:rPr>
        <w:t xml:space="preserve">, known as </w:t>
      </w:r>
      <w:r w:rsidRPr="0092644B">
        <w:rPr>
          <w:rFonts w:ascii="Verdana" w:hAnsi="Verdana" w:cs="Arial"/>
          <w:sz w:val="20"/>
          <w:szCs w:val="20"/>
        </w:rPr>
        <w:t>‘bottom-end inequality’</w:t>
      </w:r>
      <w:r>
        <w:rPr>
          <w:rFonts w:ascii="Verdana" w:hAnsi="Verdana" w:cs="Arial"/>
          <w:sz w:val="20"/>
          <w:szCs w:val="20"/>
        </w:rPr>
        <w:t>.</w:t>
      </w:r>
      <w:r w:rsidRPr="002B324F">
        <w:rPr>
          <w:rFonts w:ascii="Verdana" w:hAnsi="Verdana" w:cs="Arial"/>
          <w:sz w:val="20"/>
          <w:szCs w:val="20"/>
        </w:rPr>
        <w:t xml:space="preserve"> </w:t>
      </w:r>
      <w:r w:rsidR="00F71727">
        <w:rPr>
          <w:rFonts w:ascii="Verdana" w:hAnsi="Verdana" w:cs="Arial"/>
          <w:sz w:val="20"/>
          <w:szCs w:val="20"/>
        </w:rPr>
        <w:t>By measuring bottom-end inequality, we are able to identify how</w:t>
      </w:r>
      <w:r w:rsidRPr="0092644B">
        <w:rPr>
          <w:rFonts w:ascii="Verdana" w:hAnsi="Verdana" w:cs="Arial"/>
          <w:sz w:val="20"/>
          <w:szCs w:val="20"/>
        </w:rPr>
        <w:t xml:space="preserve"> far behind the most disadvantaged children</w:t>
      </w:r>
      <w:r>
        <w:rPr>
          <w:rFonts w:ascii="Verdana" w:hAnsi="Verdana" w:cs="Arial"/>
          <w:sz w:val="20"/>
          <w:szCs w:val="20"/>
        </w:rPr>
        <w:t xml:space="preserve"> are being left to fall behind. </w:t>
      </w:r>
    </w:p>
    <w:p w14:paraId="47F42B5E" w14:textId="77777777" w:rsidR="00627DBE" w:rsidRDefault="00F71727" w:rsidP="00365D2F">
      <w:pPr>
        <w:spacing w:after="240" w:line="240" w:lineRule="auto"/>
        <w:jc w:val="both"/>
        <w:rPr>
          <w:rFonts w:ascii="Verdana" w:hAnsi="Verdana" w:cs="Arial"/>
          <w:b/>
          <w:sz w:val="20"/>
          <w:szCs w:val="20"/>
        </w:rPr>
      </w:pPr>
      <w:r>
        <w:rPr>
          <w:rFonts w:ascii="Verdana" w:hAnsi="Verdana" w:cs="Arial"/>
          <w:b/>
          <w:sz w:val="20"/>
          <w:szCs w:val="20"/>
        </w:rPr>
        <w:t xml:space="preserve">Why does Report Card 13 focus on </w:t>
      </w:r>
      <w:r w:rsidR="00627DBE" w:rsidRPr="00264D2A">
        <w:rPr>
          <w:rFonts w:ascii="Verdana" w:hAnsi="Verdana" w:cs="Arial"/>
          <w:b/>
          <w:sz w:val="20"/>
          <w:szCs w:val="20"/>
        </w:rPr>
        <w:t>“</w:t>
      </w:r>
      <w:r>
        <w:rPr>
          <w:rFonts w:ascii="Verdana" w:hAnsi="Verdana" w:cs="Arial"/>
          <w:b/>
          <w:sz w:val="20"/>
          <w:szCs w:val="20"/>
        </w:rPr>
        <w:t>bottom-end inequality”?</w:t>
      </w:r>
    </w:p>
    <w:p w14:paraId="7D3099C6" w14:textId="77777777" w:rsidR="00F71727" w:rsidRPr="002B324F" w:rsidRDefault="00F71727" w:rsidP="00F71727">
      <w:pPr>
        <w:spacing w:after="240" w:line="240" w:lineRule="auto"/>
        <w:jc w:val="both"/>
        <w:rPr>
          <w:rFonts w:ascii="Verdana" w:hAnsi="Verdana" w:cs="Arial"/>
          <w:sz w:val="20"/>
          <w:szCs w:val="20"/>
        </w:rPr>
      </w:pPr>
      <w:r w:rsidRPr="002B324F">
        <w:rPr>
          <w:rFonts w:ascii="Verdana" w:hAnsi="Verdana" w:cs="Arial"/>
          <w:sz w:val="20"/>
          <w:szCs w:val="20"/>
        </w:rPr>
        <w:t xml:space="preserve">Report Card 13 </w:t>
      </w:r>
      <w:r>
        <w:rPr>
          <w:rFonts w:ascii="Verdana" w:hAnsi="Verdana" w:cs="Arial"/>
          <w:sz w:val="20"/>
          <w:szCs w:val="20"/>
        </w:rPr>
        <w:t xml:space="preserve">uses three </w:t>
      </w:r>
      <w:r w:rsidRPr="002B324F">
        <w:rPr>
          <w:rFonts w:ascii="Verdana" w:hAnsi="Verdana" w:cs="Arial"/>
          <w:sz w:val="20"/>
          <w:szCs w:val="20"/>
        </w:rPr>
        <w:t xml:space="preserve">different measures focusing on the gap between the median and the bottom </w:t>
      </w:r>
      <w:r w:rsidR="0060183D">
        <w:rPr>
          <w:rFonts w:ascii="Verdana" w:hAnsi="Verdana" w:cs="Arial"/>
          <w:sz w:val="20"/>
          <w:szCs w:val="20"/>
        </w:rPr>
        <w:t>10 per cent</w:t>
      </w:r>
      <w:r>
        <w:rPr>
          <w:rFonts w:ascii="Verdana" w:hAnsi="Verdana" w:cs="Arial"/>
          <w:sz w:val="20"/>
          <w:szCs w:val="20"/>
        </w:rPr>
        <w:t xml:space="preserve">, known as </w:t>
      </w:r>
      <w:r w:rsidRPr="0092644B">
        <w:rPr>
          <w:rFonts w:ascii="Verdana" w:hAnsi="Verdana" w:cs="Arial"/>
          <w:sz w:val="20"/>
          <w:szCs w:val="20"/>
        </w:rPr>
        <w:t>‘bottom-end inequality’</w:t>
      </w:r>
      <w:r>
        <w:rPr>
          <w:rFonts w:ascii="Verdana" w:hAnsi="Verdana" w:cs="Arial"/>
          <w:sz w:val="20"/>
          <w:szCs w:val="20"/>
        </w:rPr>
        <w:t>.</w:t>
      </w:r>
      <w:r w:rsidRPr="002B324F">
        <w:rPr>
          <w:rFonts w:ascii="Verdana" w:hAnsi="Verdana" w:cs="Arial"/>
          <w:sz w:val="20"/>
          <w:szCs w:val="20"/>
        </w:rPr>
        <w:t xml:space="preserve"> </w:t>
      </w:r>
      <w:r>
        <w:rPr>
          <w:rFonts w:ascii="Verdana" w:hAnsi="Verdana" w:cs="Arial"/>
          <w:sz w:val="20"/>
          <w:szCs w:val="20"/>
        </w:rPr>
        <w:t>By measuring bottom-end inequality, we are able to identify how</w:t>
      </w:r>
      <w:r w:rsidRPr="0092644B">
        <w:rPr>
          <w:rFonts w:ascii="Verdana" w:hAnsi="Verdana" w:cs="Arial"/>
          <w:sz w:val="20"/>
          <w:szCs w:val="20"/>
        </w:rPr>
        <w:t xml:space="preserve"> far behind the most disadvantaged children</w:t>
      </w:r>
      <w:r>
        <w:rPr>
          <w:rFonts w:ascii="Verdana" w:hAnsi="Verdana" w:cs="Arial"/>
          <w:sz w:val="20"/>
          <w:szCs w:val="20"/>
        </w:rPr>
        <w:t xml:space="preserve"> are being left to fall behind. </w:t>
      </w:r>
    </w:p>
    <w:p w14:paraId="4C883EF5" w14:textId="77777777" w:rsidR="00DE4558" w:rsidRPr="001E1842" w:rsidRDefault="00DE4558" w:rsidP="00DE4558">
      <w:pPr>
        <w:spacing w:after="160" w:line="240" w:lineRule="auto"/>
        <w:jc w:val="both"/>
        <w:rPr>
          <w:rFonts w:ascii="Verdana" w:hAnsi="Verdana" w:cs="Arial"/>
          <w:b/>
          <w:bCs/>
          <w:sz w:val="20"/>
        </w:rPr>
      </w:pPr>
      <w:r w:rsidRPr="001E1842">
        <w:rPr>
          <w:rFonts w:ascii="Verdana" w:hAnsi="Verdana" w:cs="Arial"/>
          <w:b/>
          <w:bCs/>
          <w:sz w:val="20"/>
        </w:rPr>
        <w:t>Why does UNICEF measure multiple dimensions of child well-being?</w:t>
      </w:r>
    </w:p>
    <w:p w14:paraId="21E42AED" w14:textId="77777777" w:rsidR="00DE4558" w:rsidRPr="001E1842" w:rsidRDefault="00DE4558" w:rsidP="00DE4558">
      <w:pPr>
        <w:spacing w:after="160" w:line="240" w:lineRule="auto"/>
        <w:jc w:val="both"/>
        <w:rPr>
          <w:rFonts w:ascii="Verdana" w:hAnsi="Verdana" w:cs="Arial"/>
          <w:color w:val="1F497D"/>
          <w:sz w:val="20"/>
        </w:rPr>
      </w:pPr>
      <w:r w:rsidRPr="001E1842">
        <w:rPr>
          <w:rFonts w:ascii="Verdana" w:hAnsi="Verdana" w:cs="Arial"/>
          <w:sz w:val="20"/>
        </w:rPr>
        <w:t xml:space="preserve">UNICEF and many other development organizations now recognize that the best way to measure child poverty is with a multi-dimensional approach taking into consideration income, health, education and other dimensions of well-being. It is quite possible for children to live in homes </w:t>
      </w:r>
      <w:r w:rsidRPr="001E1842">
        <w:rPr>
          <w:rFonts w:ascii="Verdana" w:hAnsi="Verdana" w:cs="Arial"/>
          <w:sz w:val="20"/>
        </w:rPr>
        <w:lastRenderedPageBreak/>
        <w:t>with a moderate or even high level of income and still be deprived of critically important essential goods and services.</w:t>
      </w:r>
    </w:p>
    <w:p w14:paraId="494F8B7B" w14:textId="77777777" w:rsidR="00627DBE" w:rsidRPr="00264D2A" w:rsidRDefault="009E581A" w:rsidP="00365D2F">
      <w:pPr>
        <w:spacing w:after="240" w:line="240" w:lineRule="auto"/>
        <w:jc w:val="both"/>
        <w:rPr>
          <w:rFonts w:ascii="Verdana" w:hAnsi="Verdana" w:cs="Arial"/>
          <w:b/>
          <w:sz w:val="20"/>
          <w:szCs w:val="20"/>
        </w:rPr>
      </w:pPr>
      <w:r w:rsidRPr="00264D2A">
        <w:rPr>
          <w:rFonts w:ascii="Verdana" w:hAnsi="Verdana" w:cs="Arial"/>
          <w:b/>
          <w:sz w:val="20"/>
          <w:szCs w:val="20"/>
        </w:rPr>
        <w:t xml:space="preserve">How </w:t>
      </w:r>
      <w:r w:rsidR="00F71727">
        <w:rPr>
          <w:rFonts w:ascii="Verdana" w:hAnsi="Verdana" w:cs="Arial"/>
          <w:b/>
          <w:sz w:val="20"/>
          <w:szCs w:val="20"/>
        </w:rPr>
        <w:t xml:space="preserve">is “bottom-end inequality” </w:t>
      </w:r>
      <w:r w:rsidRPr="00264D2A">
        <w:rPr>
          <w:rFonts w:ascii="Verdana" w:hAnsi="Verdana" w:cs="Arial"/>
          <w:b/>
          <w:sz w:val="20"/>
          <w:szCs w:val="20"/>
        </w:rPr>
        <w:t>measured</w:t>
      </w:r>
      <w:r w:rsidR="00F71727">
        <w:rPr>
          <w:rFonts w:ascii="Verdana" w:hAnsi="Verdana" w:cs="Arial"/>
          <w:b/>
          <w:sz w:val="20"/>
          <w:szCs w:val="20"/>
        </w:rPr>
        <w:t xml:space="preserve"> over-all?</w:t>
      </w:r>
      <w:r w:rsidRPr="00264D2A">
        <w:rPr>
          <w:rFonts w:ascii="Verdana" w:hAnsi="Verdana" w:cs="Arial"/>
          <w:b/>
          <w:sz w:val="20"/>
          <w:szCs w:val="20"/>
        </w:rPr>
        <w:t xml:space="preserve"> </w:t>
      </w:r>
    </w:p>
    <w:p w14:paraId="0BA6CF2B" w14:textId="77777777" w:rsidR="00CB2109" w:rsidRDefault="00F71727" w:rsidP="00F71727">
      <w:pPr>
        <w:spacing w:after="240" w:line="240" w:lineRule="auto"/>
        <w:jc w:val="both"/>
        <w:rPr>
          <w:rFonts w:ascii="Verdana" w:hAnsi="Verdana" w:cs="Arial"/>
          <w:sz w:val="20"/>
          <w:szCs w:val="20"/>
        </w:rPr>
      </w:pPr>
      <w:r w:rsidRPr="00F71727">
        <w:rPr>
          <w:rFonts w:ascii="Verdana" w:hAnsi="Verdana" w:cs="Arial"/>
          <w:sz w:val="20"/>
          <w:szCs w:val="20"/>
        </w:rPr>
        <w:t>Report Card 13 measures inequality in four dimensions - income, education, health and life satisfaction</w:t>
      </w:r>
      <w:r w:rsidR="0060183D">
        <w:rPr>
          <w:rFonts w:ascii="Verdana" w:hAnsi="Verdana" w:cs="Arial"/>
          <w:sz w:val="20"/>
          <w:szCs w:val="20"/>
        </w:rPr>
        <w:t>,</w:t>
      </w:r>
      <w:r w:rsidRPr="00F71727">
        <w:rPr>
          <w:rFonts w:ascii="Verdana" w:hAnsi="Verdana" w:cs="Arial"/>
          <w:sz w:val="20"/>
          <w:szCs w:val="20"/>
        </w:rPr>
        <w:t xml:space="preserve"> by using three different measures focusing on the gap between the median and the bottom of the distribution</w:t>
      </w:r>
      <w:r w:rsidR="00AC321B">
        <w:rPr>
          <w:rFonts w:ascii="Verdana" w:hAnsi="Verdana" w:cs="Arial"/>
          <w:sz w:val="20"/>
          <w:szCs w:val="20"/>
        </w:rPr>
        <w:t>.</w:t>
      </w:r>
      <w:r>
        <w:rPr>
          <w:rFonts w:ascii="Verdana" w:hAnsi="Verdana" w:cs="Arial"/>
          <w:sz w:val="20"/>
          <w:szCs w:val="20"/>
        </w:rPr>
        <w:t xml:space="preserve"> </w:t>
      </w:r>
    </w:p>
    <w:p w14:paraId="1966642A" w14:textId="77777777" w:rsidR="0061338E" w:rsidRDefault="00AC321B" w:rsidP="00AC321B">
      <w:pPr>
        <w:spacing w:after="240" w:line="240" w:lineRule="auto"/>
        <w:jc w:val="both"/>
        <w:rPr>
          <w:rFonts w:ascii="Verdana" w:hAnsi="Verdana" w:cs="Arial"/>
          <w:b/>
          <w:sz w:val="20"/>
          <w:szCs w:val="20"/>
        </w:rPr>
      </w:pPr>
      <w:r w:rsidRPr="00264D2A">
        <w:rPr>
          <w:rFonts w:ascii="Verdana" w:hAnsi="Verdana" w:cs="Arial"/>
          <w:b/>
          <w:sz w:val="20"/>
          <w:szCs w:val="20"/>
        </w:rPr>
        <w:t xml:space="preserve">How </w:t>
      </w:r>
      <w:r>
        <w:rPr>
          <w:rFonts w:ascii="Verdana" w:hAnsi="Verdana" w:cs="Arial"/>
          <w:b/>
          <w:sz w:val="20"/>
          <w:szCs w:val="20"/>
        </w:rPr>
        <w:t>is income inequality measured?</w:t>
      </w:r>
    </w:p>
    <w:p w14:paraId="081D53F0" w14:textId="77777777" w:rsidR="00CB2109" w:rsidRPr="0061338E" w:rsidRDefault="0061338E" w:rsidP="00AC321B">
      <w:pPr>
        <w:spacing w:after="240" w:line="240" w:lineRule="auto"/>
        <w:jc w:val="both"/>
        <w:rPr>
          <w:rFonts w:ascii="Verdana" w:hAnsi="Verdana" w:cs="Arial"/>
          <w:b/>
          <w:sz w:val="20"/>
          <w:szCs w:val="20"/>
        </w:rPr>
      </w:pPr>
      <w:r>
        <w:rPr>
          <w:rFonts w:ascii="Verdana" w:hAnsi="Verdana" w:cs="Arial"/>
          <w:sz w:val="20"/>
          <w:szCs w:val="20"/>
        </w:rPr>
        <w:t xml:space="preserve">Income </w:t>
      </w:r>
      <w:r w:rsidR="00AC321B">
        <w:rPr>
          <w:rFonts w:ascii="Verdana" w:hAnsi="Verdana" w:cs="Arial"/>
          <w:sz w:val="20"/>
          <w:szCs w:val="20"/>
        </w:rPr>
        <w:t>inequality</w:t>
      </w:r>
      <w:r>
        <w:rPr>
          <w:rFonts w:ascii="Verdana" w:hAnsi="Verdana" w:cs="Arial"/>
          <w:sz w:val="20"/>
          <w:szCs w:val="20"/>
        </w:rPr>
        <w:t xml:space="preserve"> is determined by measuring</w:t>
      </w:r>
      <w:r w:rsidR="00AC321B">
        <w:rPr>
          <w:rFonts w:ascii="Verdana" w:hAnsi="Verdana" w:cs="Arial"/>
          <w:sz w:val="20"/>
          <w:szCs w:val="20"/>
        </w:rPr>
        <w:t xml:space="preserve"> the</w:t>
      </w:r>
      <w:r w:rsidR="007726DC" w:rsidRPr="00AC321B">
        <w:rPr>
          <w:rFonts w:ascii="Verdana" w:hAnsi="Verdana" w:cs="Arial"/>
          <w:sz w:val="20"/>
          <w:szCs w:val="20"/>
        </w:rPr>
        <w:t xml:space="preserve"> difference between </w:t>
      </w:r>
      <w:r w:rsidR="00732419" w:rsidRPr="00AC321B">
        <w:rPr>
          <w:rFonts w:ascii="Verdana" w:hAnsi="Verdana" w:cs="Arial"/>
          <w:sz w:val="20"/>
          <w:szCs w:val="20"/>
        </w:rPr>
        <w:t>the household income of the child at the 50th percentile (the median</w:t>
      </w:r>
      <w:r w:rsidR="00242AEA" w:rsidRPr="00AC321B">
        <w:rPr>
          <w:rFonts w:ascii="Verdana" w:hAnsi="Verdana" w:cs="Arial"/>
          <w:sz w:val="20"/>
          <w:szCs w:val="20"/>
        </w:rPr>
        <w:t xml:space="preserve"> – i.e. poorer than 50 per cent of children</w:t>
      </w:r>
      <w:r w:rsidR="00732419" w:rsidRPr="00AC321B">
        <w:rPr>
          <w:rFonts w:ascii="Verdana" w:hAnsi="Verdana" w:cs="Arial"/>
          <w:sz w:val="20"/>
          <w:szCs w:val="20"/>
        </w:rPr>
        <w:t xml:space="preserve">) </w:t>
      </w:r>
      <w:r w:rsidR="00242AEA" w:rsidRPr="00AC321B">
        <w:rPr>
          <w:rFonts w:ascii="Verdana" w:hAnsi="Verdana" w:cs="Arial"/>
          <w:sz w:val="20"/>
          <w:szCs w:val="20"/>
        </w:rPr>
        <w:t xml:space="preserve">and that </w:t>
      </w:r>
      <w:r w:rsidR="00732419" w:rsidRPr="00AC321B">
        <w:rPr>
          <w:rFonts w:ascii="Verdana" w:hAnsi="Verdana" w:cs="Arial"/>
          <w:sz w:val="20"/>
          <w:szCs w:val="20"/>
        </w:rPr>
        <w:t>of the child at the 10th percentile (i.e. poorer than 90 per cent of children)</w:t>
      </w:r>
      <w:r w:rsidR="00FB2936" w:rsidRPr="00AC321B">
        <w:rPr>
          <w:rFonts w:ascii="Verdana" w:hAnsi="Verdana" w:cs="Arial"/>
          <w:sz w:val="20"/>
          <w:szCs w:val="20"/>
        </w:rPr>
        <w:t>, as a percentage of the median.</w:t>
      </w:r>
      <w:r w:rsidR="00732419" w:rsidRPr="00AC321B">
        <w:rPr>
          <w:rFonts w:ascii="Verdana" w:hAnsi="Verdana" w:cs="Arial"/>
          <w:sz w:val="20"/>
          <w:szCs w:val="20"/>
        </w:rPr>
        <w:t xml:space="preserve"> </w:t>
      </w:r>
    </w:p>
    <w:p w14:paraId="6829C5E6" w14:textId="77777777" w:rsidR="00AC321B" w:rsidRDefault="00AC321B" w:rsidP="00AC321B">
      <w:pPr>
        <w:spacing w:after="240" w:line="240" w:lineRule="auto"/>
        <w:jc w:val="both"/>
        <w:rPr>
          <w:rFonts w:ascii="Verdana" w:hAnsi="Verdana" w:cs="Arial"/>
          <w:b/>
          <w:sz w:val="20"/>
          <w:szCs w:val="20"/>
        </w:rPr>
      </w:pPr>
      <w:r w:rsidRPr="00264D2A">
        <w:rPr>
          <w:rFonts w:ascii="Verdana" w:hAnsi="Verdana" w:cs="Arial"/>
          <w:b/>
          <w:sz w:val="20"/>
          <w:szCs w:val="20"/>
        </w:rPr>
        <w:t xml:space="preserve">How </w:t>
      </w:r>
      <w:r>
        <w:rPr>
          <w:rFonts w:ascii="Verdana" w:hAnsi="Verdana" w:cs="Arial"/>
          <w:b/>
          <w:sz w:val="20"/>
          <w:szCs w:val="20"/>
        </w:rPr>
        <w:t>is education inequality measured?</w:t>
      </w:r>
    </w:p>
    <w:p w14:paraId="2599ECBC" w14:textId="77777777" w:rsidR="00F00231" w:rsidRDefault="0060183D" w:rsidP="00F00231">
      <w:pPr>
        <w:spacing w:after="240" w:line="240" w:lineRule="auto"/>
        <w:jc w:val="both"/>
        <w:rPr>
          <w:rFonts w:ascii="Verdana" w:hAnsi="Verdana" w:cs="Arial"/>
          <w:sz w:val="20"/>
          <w:szCs w:val="20"/>
        </w:rPr>
      </w:pPr>
      <w:r>
        <w:rPr>
          <w:rFonts w:ascii="Verdana" w:hAnsi="Verdana" w:cs="Arial"/>
          <w:sz w:val="20"/>
          <w:szCs w:val="20"/>
        </w:rPr>
        <w:t>Education achievement is measured through the</w:t>
      </w:r>
      <w:r w:rsidR="00732419" w:rsidRPr="00AC321B">
        <w:rPr>
          <w:rFonts w:ascii="Verdana" w:hAnsi="Verdana" w:cs="Arial"/>
          <w:sz w:val="20"/>
          <w:szCs w:val="20"/>
        </w:rPr>
        <w:t xml:space="preserve"> </w:t>
      </w:r>
      <w:r w:rsidR="00AC321B" w:rsidRPr="00AC321B">
        <w:rPr>
          <w:rFonts w:ascii="Verdana" w:hAnsi="Verdana" w:cs="Arial"/>
          <w:sz w:val="20"/>
          <w:szCs w:val="20"/>
        </w:rPr>
        <w:t xml:space="preserve">Programme for International Student Assessment </w:t>
      </w:r>
      <w:r w:rsidR="00DE4558">
        <w:rPr>
          <w:rFonts w:ascii="Verdana" w:hAnsi="Verdana" w:cs="Arial"/>
          <w:sz w:val="20"/>
          <w:szCs w:val="20"/>
        </w:rPr>
        <w:t xml:space="preserve">(PISA) </w:t>
      </w:r>
      <w:r w:rsidR="00732419" w:rsidRPr="00AC321B">
        <w:rPr>
          <w:rFonts w:ascii="Verdana" w:hAnsi="Verdana" w:cs="Arial"/>
          <w:sz w:val="20"/>
          <w:szCs w:val="20"/>
        </w:rPr>
        <w:t>test score</w:t>
      </w:r>
      <w:r>
        <w:rPr>
          <w:rFonts w:ascii="Verdana" w:hAnsi="Verdana" w:cs="Arial"/>
          <w:sz w:val="20"/>
          <w:szCs w:val="20"/>
        </w:rPr>
        <w:t xml:space="preserve"> </w:t>
      </w:r>
      <w:r w:rsidR="00F00231">
        <w:rPr>
          <w:rFonts w:ascii="Verdana" w:hAnsi="Verdana" w:cs="Arial"/>
          <w:sz w:val="20"/>
          <w:szCs w:val="20"/>
        </w:rPr>
        <w:t>in</w:t>
      </w:r>
      <w:r>
        <w:rPr>
          <w:rFonts w:ascii="Verdana" w:hAnsi="Verdana" w:cs="Arial"/>
          <w:sz w:val="20"/>
          <w:szCs w:val="20"/>
        </w:rPr>
        <w:t xml:space="preserve"> </w:t>
      </w:r>
      <w:r w:rsidR="00732419" w:rsidRPr="00AC321B">
        <w:rPr>
          <w:rFonts w:ascii="Verdana" w:hAnsi="Verdana" w:cs="Arial"/>
          <w:sz w:val="20"/>
          <w:szCs w:val="20"/>
        </w:rPr>
        <w:t>maths, science and reading</w:t>
      </w:r>
      <w:r>
        <w:rPr>
          <w:rFonts w:ascii="Verdana" w:hAnsi="Verdana" w:cs="Arial"/>
          <w:sz w:val="20"/>
          <w:szCs w:val="20"/>
        </w:rPr>
        <w:t>. Education inequality among children is determined by measuring</w:t>
      </w:r>
      <w:r w:rsidRPr="00AC321B">
        <w:rPr>
          <w:rFonts w:ascii="Verdana" w:hAnsi="Verdana" w:cs="Arial"/>
          <w:sz w:val="20"/>
          <w:szCs w:val="20"/>
        </w:rPr>
        <w:t xml:space="preserve"> the absolute difference </w:t>
      </w:r>
      <w:r w:rsidR="00F00231">
        <w:rPr>
          <w:rFonts w:ascii="Verdana" w:hAnsi="Verdana" w:cs="Arial"/>
          <w:sz w:val="20"/>
          <w:szCs w:val="20"/>
        </w:rPr>
        <w:t xml:space="preserve">in test scores </w:t>
      </w:r>
      <w:r w:rsidRPr="00AC321B">
        <w:rPr>
          <w:rFonts w:ascii="Verdana" w:hAnsi="Verdana" w:cs="Arial"/>
          <w:sz w:val="20"/>
          <w:szCs w:val="20"/>
        </w:rPr>
        <w:t>between the median and the 10</w:t>
      </w:r>
      <w:r w:rsidRPr="00AC321B">
        <w:rPr>
          <w:rFonts w:ascii="Verdana" w:hAnsi="Verdana" w:cs="Arial"/>
          <w:sz w:val="20"/>
          <w:szCs w:val="20"/>
          <w:vertAlign w:val="superscript"/>
        </w:rPr>
        <w:t>th</w:t>
      </w:r>
      <w:r w:rsidRPr="00AC321B">
        <w:rPr>
          <w:rFonts w:ascii="Verdana" w:hAnsi="Verdana" w:cs="Arial"/>
          <w:sz w:val="20"/>
          <w:szCs w:val="20"/>
        </w:rPr>
        <w:t xml:space="preserve"> percentile</w:t>
      </w:r>
      <w:r>
        <w:rPr>
          <w:rFonts w:ascii="Verdana" w:hAnsi="Verdana" w:cs="Arial"/>
          <w:sz w:val="20"/>
          <w:szCs w:val="20"/>
        </w:rPr>
        <w:t>.</w:t>
      </w:r>
      <w:r w:rsidR="00F00231">
        <w:rPr>
          <w:rFonts w:ascii="Verdana" w:hAnsi="Verdana" w:cs="Arial"/>
          <w:sz w:val="20"/>
          <w:szCs w:val="20"/>
        </w:rPr>
        <w:t xml:space="preserve"> Over</w:t>
      </w:r>
      <w:r w:rsidR="00C4697E">
        <w:rPr>
          <w:rFonts w:ascii="Verdana" w:hAnsi="Verdana" w:cs="Arial"/>
          <w:sz w:val="20"/>
          <w:szCs w:val="20"/>
        </w:rPr>
        <w:t>all</w:t>
      </w:r>
      <w:r w:rsidR="00F00231">
        <w:rPr>
          <w:rFonts w:ascii="Verdana" w:hAnsi="Verdana" w:cs="Arial"/>
          <w:sz w:val="20"/>
          <w:szCs w:val="20"/>
        </w:rPr>
        <w:t xml:space="preserve"> ranking of countries is based on average z-scores across three subjects. </w:t>
      </w:r>
    </w:p>
    <w:p w14:paraId="1D1BBC85" w14:textId="77777777" w:rsidR="0061338E" w:rsidRPr="0061338E" w:rsidRDefault="0061338E" w:rsidP="00AC321B">
      <w:pPr>
        <w:spacing w:after="240" w:line="240" w:lineRule="auto"/>
        <w:jc w:val="both"/>
        <w:rPr>
          <w:rFonts w:ascii="Verdana" w:hAnsi="Verdana" w:cs="Arial"/>
          <w:b/>
          <w:sz w:val="20"/>
          <w:szCs w:val="20"/>
        </w:rPr>
      </w:pPr>
      <w:r w:rsidRPr="0061338E">
        <w:rPr>
          <w:rFonts w:ascii="Verdana" w:hAnsi="Verdana" w:cs="Arial"/>
          <w:b/>
          <w:sz w:val="20"/>
          <w:szCs w:val="20"/>
        </w:rPr>
        <w:t>How is health inequality measured?</w:t>
      </w:r>
    </w:p>
    <w:p w14:paraId="4C1BF416" w14:textId="77777777" w:rsidR="00732419" w:rsidRDefault="0061338E" w:rsidP="0061338E">
      <w:pPr>
        <w:spacing w:after="240" w:line="240" w:lineRule="auto"/>
        <w:jc w:val="both"/>
        <w:rPr>
          <w:rFonts w:ascii="Verdana" w:hAnsi="Verdana" w:cs="Arial"/>
          <w:sz w:val="20"/>
          <w:szCs w:val="20"/>
        </w:rPr>
      </w:pPr>
      <w:r w:rsidRPr="0061338E">
        <w:rPr>
          <w:rFonts w:ascii="Verdana" w:hAnsi="Verdana" w:cs="Arial"/>
          <w:sz w:val="20"/>
          <w:szCs w:val="20"/>
        </w:rPr>
        <w:t>Health scores are based on a summary measure of eight different self-reported recent symptoms (e.g. headaches</w:t>
      </w:r>
      <w:r w:rsidR="0060183D">
        <w:rPr>
          <w:rFonts w:ascii="Verdana" w:hAnsi="Verdana" w:cs="Arial"/>
          <w:sz w:val="20"/>
          <w:szCs w:val="20"/>
        </w:rPr>
        <w:t>, nausea</w:t>
      </w:r>
      <w:r w:rsidRPr="0061338E">
        <w:rPr>
          <w:rFonts w:ascii="Verdana" w:hAnsi="Verdana" w:cs="Arial"/>
          <w:sz w:val="20"/>
          <w:szCs w:val="20"/>
        </w:rPr>
        <w:t>) on a scale from 0 to 32</w:t>
      </w:r>
      <w:r>
        <w:rPr>
          <w:rFonts w:ascii="Verdana" w:hAnsi="Verdana" w:cs="Arial"/>
          <w:sz w:val="20"/>
          <w:szCs w:val="20"/>
        </w:rPr>
        <w:t xml:space="preserve">. Health inequality is determined by measuring the difference </w:t>
      </w:r>
      <w:r w:rsidR="00345A48" w:rsidRPr="0061338E">
        <w:rPr>
          <w:rFonts w:ascii="Verdana" w:hAnsi="Verdana" w:cs="Arial"/>
          <w:sz w:val="20"/>
          <w:szCs w:val="20"/>
        </w:rPr>
        <w:t>between</w:t>
      </w:r>
      <w:r w:rsidR="002F559E" w:rsidRPr="0061338E">
        <w:rPr>
          <w:rFonts w:ascii="Verdana" w:hAnsi="Verdana" w:cs="Arial"/>
          <w:sz w:val="20"/>
          <w:szCs w:val="20"/>
        </w:rPr>
        <w:t xml:space="preserve"> the median score and the average score for all children below the median (i.e. in the lower half of the distribution), as a percentage of the median. </w:t>
      </w:r>
    </w:p>
    <w:p w14:paraId="676FCB8D" w14:textId="77777777" w:rsidR="0061338E" w:rsidRPr="0061338E" w:rsidRDefault="0061338E" w:rsidP="0061338E">
      <w:pPr>
        <w:spacing w:after="240" w:line="240" w:lineRule="auto"/>
        <w:jc w:val="both"/>
        <w:rPr>
          <w:rFonts w:ascii="Verdana" w:hAnsi="Verdana" w:cs="Arial"/>
          <w:b/>
          <w:sz w:val="20"/>
          <w:szCs w:val="20"/>
        </w:rPr>
      </w:pPr>
      <w:r w:rsidRPr="0061338E">
        <w:rPr>
          <w:rFonts w:ascii="Verdana" w:hAnsi="Verdana" w:cs="Arial"/>
          <w:b/>
          <w:sz w:val="20"/>
          <w:szCs w:val="20"/>
        </w:rPr>
        <w:t>How is life satisfaction inequality measured?</w:t>
      </w:r>
    </w:p>
    <w:p w14:paraId="46E0DF13" w14:textId="77777777" w:rsidR="0061338E" w:rsidRPr="0061338E" w:rsidRDefault="0061338E" w:rsidP="0061338E">
      <w:pPr>
        <w:spacing w:after="240" w:line="240" w:lineRule="auto"/>
        <w:jc w:val="both"/>
        <w:rPr>
          <w:rFonts w:ascii="Verdana" w:hAnsi="Verdana" w:cs="Arial"/>
          <w:sz w:val="20"/>
          <w:szCs w:val="20"/>
        </w:rPr>
      </w:pPr>
      <w:r>
        <w:rPr>
          <w:rFonts w:ascii="Verdana" w:hAnsi="Verdana" w:cs="Arial"/>
          <w:sz w:val="20"/>
          <w:szCs w:val="20"/>
        </w:rPr>
        <w:t xml:space="preserve">Children have rated their life satisfaction on a scale of 0 to 10. Life satisfaction inequality is determined by measuring the difference </w:t>
      </w:r>
      <w:r w:rsidRPr="0061338E">
        <w:rPr>
          <w:rFonts w:ascii="Verdana" w:hAnsi="Verdana" w:cs="Arial"/>
          <w:sz w:val="20"/>
          <w:szCs w:val="20"/>
        </w:rPr>
        <w:t>between the median score and the average score for all children below the median (i.e. in the lower half of the distribution), as a percentage of the median.</w:t>
      </w:r>
    </w:p>
    <w:p w14:paraId="3BDAC999" w14:textId="77777777" w:rsidR="00DE4558" w:rsidRPr="00646B9F" w:rsidRDefault="00DE4558" w:rsidP="00E746E4">
      <w:pPr>
        <w:spacing w:after="160" w:line="240" w:lineRule="auto"/>
        <w:jc w:val="both"/>
        <w:rPr>
          <w:rFonts w:ascii="Verdana" w:hAnsi="Verdana" w:cs="Arial"/>
          <w:b/>
          <w:bCs/>
          <w:color w:val="FF0000"/>
          <w:sz w:val="20"/>
        </w:rPr>
      </w:pPr>
      <w:r w:rsidRPr="00646B9F">
        <w:rPr>
          <w:rFonts w:ascii="Verdana" w:hAnsi="Verdana" w:cs="Arial"/>
          <w:b/>
          <w:bCs/>
          <w:color w:val="000000" w:themeColor="text1"/>
          <w:sz w:val="20"/>
        </w:rPr>
        <w:t xml:space="preserve">Inequality is almost always measured in terms of income. Aren’t the differences in </w:t>
      </w:r>
      <w:r w:rsidR="00E07B8E">
        <w:rPr>
          <w:rFonts w:ascii="Verdana" w:hAnsi="Verdana" w:cs="Arial"/>
          <w:b/>
          <w:bCs/>
          <w:color w:val="000000" w:themeColor="text1"/>
          <w:sz w:val="20"/>
        </w:rPr>
        <w:t>other</w:t>
      </w:r>
      <w:r w:rsidRPr="00646B9F">
        <w:rPr>
          <w:rFonts w:ascii="Verdana" w:hAnsi="Verdana" w:cs="Arial"/>
          <w:b/>
          <w:bCs/>
          <w:color w:val="000000" w:themeColor="text1"/>
          <w:sz w:val="20"/>
        </w:rPr>
        <w:t xml:space="preserve"> domains related to performance, ability and other individual characteristics? </w:t>
      </w:r>
    </w:p>
    <w:p w14:paraId="5374C96C" w14:textId="77777777" w:rsidR="00DE4558" w:rsidRPr="00E746E4" w:rsidRDefault="00DE4558" w:rsidP="00E746E4">
      <w:pPr>
        <w:spacing w:after="160" w:line="240" w:lineRule="auto"/>
        <w:jc w:val="both"/>
        <w:rPr>
          <w:rFonts w:ascii="Verdana" w:hAnsi="Verdana" w:cs="Arial"/>
          <w:bCs/>
          <w:color w:val="000000" w:themeColor="text1"/>
          <w:sz w:val="20"/>
        </w:rPr>
      </w:pPr>
      <w:r w:rsidRPr="00E746E4">
        <w:rPr>
          <w:rFonts w:ascii="Verdana" w:hAnsi="Verdana" w:cs="Arial"/>
          <w:bCs/>
          <w:color w:val="000000" w:themeColor="text1"/>
          <w:sz w:val="20"/>
        </w:rPr>
        <w:t>Report Card 13 challenges and extends the debate on inequality among children by broadening its scope to other important aspects of child well-being such as education, health and life-satisfaction. Given the links and various pathways between these domains and income it is crucial to analyze the extent to which some children fall behind from what’s considered typical in their society in a multidimensional way.</w:t>
      </w:r>
    </w:p>
    <w:p w14:paraId="42602214" w14:textId="77777777" w:rsidR="00E07B8E" w:rsidRPr="00264D2A" w:rsidRDefault="00E07B8E" w:rsidP="00E07B8E">
      <w:pPr>
        <w:spacing w:after="240" w:line="240" w:lineRule="auto"/>
        <w:jc w:val="both"/>
        <w:rPr>
          <w:rFonts w:ascii="Verdana" w:hAnsi="Verdana" w:cs="Arial"/>
          <w:b/>
          <w:sz w:val="20"/>
          <w:szCs w:val="20"/>
        </w:rPr>
      </w:pPr>
      <w:r w:rsidRPr="00264D2A">
        <w:rPr>
          <w:rFonts w:ascii="Verdana" w:hAnsi="Verdana" w:cs="Arial"/>
          <w:b/>
          <w:sz w:val="20"/>
          <w:szCs w:val="20"/>
        </w:rPr>
        <w:t>How does “bottom-end” inequality in children’s education and health differ from ‘social gradients’?</w:t>
      </w:r>
    </w:p>
    <w:p w14:paraId="7D083E0A" w14:textId="77777777" w:rsidR="00E07B8E" w:rsidRDefault="00E07B8E" w:rsidP="00E07B8E">
      <w:pPr>
        <w:pStyle w:val="ListParagraph"/>
        <w:spacing w:line="240" w:lineRule="auto"/>
        <w:ind w:left="0"/>
        <w:jc w:val="both"/>
        <w:rPr>
          <w:rFonts w:ascii="Verdana" w:hAnsi="Verdana" w:cs="Arial"/>
          <w:sz w:val="20"/>
          <w:szCs w:val="20"/>
        </w:rPr>
      </w:pPr>
      <w:r w:rsidRPr="00264D2A">
        <w:rPr>
          <w:rFonts w:ascii="Verdana" w:hAnsi="Verdana" w:cs="Arial"/>
          <w:sz w:val="20"/>
          <w:szCs w:val="20"/>
        </w:rPr>
        <w:t xml:space="preserve">Although Report Card 13 recognises the importance of socio-economic gradients in child outcomes – differences in health or educational outcomes based on family socio-economic status – it emphasises the independent value of a distributional (spread) measure as it recognises the danger of leaving some children too far behind national standards. </w:t>
      </w:r>
    </w:p>
    <w:p w14:paraId="40411199" w14:textId="77777777" w:rsidR="001E389D" w:rsidRPr="00446392" w:rsidRDefault="001E389D" w:rsidP="001E389D">
      <w:pPr>
        <w:spacing w:after="0" w:line="240" w:lineRule="auto"/>
        <w:jc w:val="both"/>
        <w:rPr>
          <w:rFonts w:ascii="Verdana" w:hAnsi="Verdana" w:cs="Arial"/>
          <w:color w:val="FF0000"/>
          <w:sz w:val="20"/>
          <w:szCs w:val="20"/>
        </w:rPr>
      </w:pPr>
      <w:r w:rsidRPr="00446392">
        <w:rPr>
          <w:rFonts w:ascii="Verdana" w:hAnsi="Verdana" w:cs="Arial"/>
          <w:b/>
          <w:color w:val="FF0000"/>
          <w:sz w:val="20"/>
          <w:szCs w:val="20"/>
          <w:u w:val="single"/>
          <w:lang w:val="en-US"/>
        </w:rPr>
        <w:t>III: THE FINDINGS</w:t>
      </w:r>
    </w:p>
    <w:p w14:paraId="1B4D001D" w14:textId="77777777" w:rsidR="00E07B8E" w:rsidRDefault="00E07B8E" w:rsidP="00902976">
      <w:pPr>
        <w:spacing w:after="0" w:line="240" w:lineRule="auto"/>
        <w:jc w:val="both"/>
        <w:rPr>
          <w:rStyle w:val="Strong"/>
          <w:rFonts w:ascii="Verdana" w:hAnsi="Verdana" w:cs="Arial"/>
          <w:color w:val="000000"/>
          <w:sz w:val="20"/>
          <w:szCs w:val="20"/>
        </w:rPr>
      </w:pPr>
    </w:p>
    <w:p w14:paraId="740A10BB" w14:textId="77777777" w:rsidR="00902976" w:rsidRDefault="00902976" w:rsidP="00902976">
      <w:pPr>
        <w:spacing w:after="0" w:line="240" w:lineRule="auto"/>
        <w:jc w:val="both"/>
        <w:rPr>
          <w:rFonts w:ascii="Verdana" w:hAnsi="Verdana" w:cs="Arial"/>
          <w:b/>
          <w:sz w:val="20"/>
          <w:szCs w:val="20"/>
        </w:rPr>
      </w:pPr>
      <w:r>
        <w:rPr>
          <w:rFonts w:ascii="Verdana" w:hAnsi="Verdana" w:cs="Arial"/>
          <w:b/>
          <w:sz w:val="20"/>
          <w:szCs w:val="20"/>
        </w:rPr>
        <w:t>What does the report show in terms of income inequality?</w:t>
      </w:r>
    </w:p>
    <w:p w14:paraId="4130B89D" w14:textId="77777777" w:rsidR="00902976" w:rsidRPr="00902976" w:rsidRDefault="00902976" w:rsidP="00902976">
      <w:pPr>
        <w:spacing w:after="0" w:line="240" w:lineRule="auto"/>
        <w:jc w:val="both"/>
        <w:rPr>
          <w:rFonts w:ascii="Verdana" w:hAnsi="Verdana" w:cs="Arial"/>
          <w:sz w:val="20"/>
          <w:szCs w:val="20"/>
        </w:rPr>
      </w:pPr>
    </w:p>
    <w:p w14:paraId="0527416B" w14:textId="77777777" w:rsidR="00902976" w:rsidRDefault="0060183D" w:rsidP="00902976">
      <w:pPr>
        <w:spacing w:after="0" w:line="240" w:lineRule="auto"/>
        <w:jc w:val="both"/>
        <w:rPr>
          <w:rFonts w:ascii="Verdana" w:hAnsi="Verdana" w:cs="Arial"/>
          <w:sz w:val="20"/>
          <w:szCs w:val="20"/>
        </w:rPr>
      </w:pPr>
      <w:r>
        <w:rPr>
          <w:rFonts w:ascii="Verdana" w:hAnsi="Verdana" w:cs="Arial"/>
          <w:sz w:val="20"/>
          <w:szCs w:val="20"/>
        </w:rPr>
        <w:t>The report shows</w:t>
      </w:r>
      <w:r w:rsidR="00902976">
        <w:rPr>
          <w:rFonts w:ascii="Verdana" w:hAnsi="Verdana" w:cs="Arial"/>
          <w:sz w:val="20"/>
          <w:szCs w:val="20"/>
        </w:rPr>
        <w:t xml:space="preserve"> that income inequality has increased in the majority of rich countries with 19 out of 37 countries seeing an increase in the relative child income gap of at least 1 percentage point between 2008 and 2013. </w:t>
      </w:r>
      <w:r w:rsidRPr="0060183D">
        <w:rPr>
          <w:rFonts w:ascii="Verdana" w:hAnsi="Verdana" w:cs="Arial"/>
          <w:sz w:val="20"/>
          <w:szCs w:val="20"/>
        </w:rPr>
        <w:t>A relative income gap refers to the difference between groups in terms of the share of</w:t>
      </w:r>
      <w:r>
        <w:rPr>
          <w:rFonts w:ascii="Verdana" w:hAnsi="Verdana" w:cs="Arial"/>
          <w:sz w:val="20"/>
          <w:szCs w:val="20"/>
        </w:rPr>
        <w:t xml:space="preserve"> total income</w:t>
      </w:r>
      <w:r w:rsidRPr="0060183D">
        <w:rPr>
          <w:rFonts w:ascii="Verdana" w:hAnsi="Verdana" w:cs="Arial"/>
          <w:sz w:val="20"/>
          <w:szCs w:val="20"/>
        </w:rPr>
        <w:t>.</w:t>
      </w:r>
      <w:r>
        <w:rPr>
          <w:rFonts w:ascii="Verdana" w:hAnsi="Verdana" w:cs="Arial"/>
          <w:sz w:val="20"/>
          <w:szCs w:val="20"/>
        </w:rPr>
        <w:t xml:space="preserve"> </w:t>
      </w:r>
    </w:p>
    <w:p w14:paraId="4E056C4E" w14:textId="77777777" w:rsidR="0060183D" w:rsidRDefault="0060183D" w:rsidP="00902976">
      <w:pPr>
        <w:spacing w:after="0" w:line="240" w:lineRule="auto"/>
        <w:jc w:val="both"/>
        <w:rPr>
          <w:rFonts w:ascii="Verdana" w:hAnsi="Verdana" w:cs="Arial"/>
          <w:sz w:val="20"/>
          <w:szCs w:val="20"/>
        </w:rPr>
      </w:pPr>
    </w:p>
    <w:p w14:paraId="4118BC49" w14:textId="77777777" w:rsidR="00902976" w:rsidRDefault="0060183D" w:rsidP="0060183D">
      <w:pPr>
        <w:spacing w:after="240" w:line="240" w:lineRule="auto"/>
        <w:jc w:val="both"/>
        <w:rPr>
          <w:rFonts w:ascii="Verdana" w:hAnsi="Verdana" w:cs="Arial"/>
          <w:sz w:val="20"/>
          <w:szCs w:val="20"/>
        </w:rPr>
      </w:pPr>
      <w:r>
        <w:rPr>
          <w:rFonts w:ascii="Verdana" w:hAnsi="Verdana" w:cs="Arial"/>
          <w:sz w:val="20"/>
          <w:szCs w:val="20"/>
        </w:rPr>
        <w:t>Income inequality is determined by measuring the</w:t>
      </w:r>
      <w:r w:rsidRPr="00AC321B">
        <w:rPr>
          <w:rFonts w:ascii="Verdana" w:hAnsi="Verdana" w:cs="Arial"/>
          <w:sz w:val="20"/>
          <w:szCs w:val="20"/>
        </w:rPr>
        <w:t xml:space="preserve"> difference between the household income of the child at the 50th percentile (the median – i.e. poorer than 50 per cent of children) and that of the child at the 10th percentile (i.e. poorer than 90 per cent of children), as a percentage of the </w:t>
      </w:r>
      <w:r>
        <w:rPr>
          <w:rFonts w:ascii="Verdana" w:hAnsi="Verdana" w:cs="Arial"/>
          <w:sz w:val="20"/>
          <w:szCs w:val="20"/>
        </w:rPr>
        <w:t>median.</w:t>
      </w:r>
    </w:p>
    <w:p w14:paraId="6CFC0F17" w14:textId="77777777" w:rsidR="00902976" w:rsidRPr="00902976" w:rsidRDefault="00902976" w:rsidP="00902976">
      <w:pPr>
        <w:spacing w:after="0" w:line="240" w:lineRule="auto"/>
        <w:jc w:val="both"/>
        <w:rPr>
          <w:rFonts w:ascii="Verdana" w:hAnsi="Verdana" w:cs="Arial"/>
          <w:b/>
          <w:sz w:val="20"/>
          <w:szCs w:val="20"/>
        </w:rPr>
      </w:pPr>
      <w:r w:rsidRPr="00902976">
        <w:rPr>
          <w:rFonts w:ascii="Verdana" w:hAnsi="Verdana" w:cs="Arial"/>
          <w:b/>
          <w:sz w:val="20"/>
          <w:szCs w:val="20"/>
        </w:rPr>
        <w:t xml:space="preserve">Which countries </w:t>
      </w:r>
      <w:r>
        <w:rPr>
          <w:rFonts w:ascii="Verdana" w:hAnsi="Verdana" w:cs="Arial"/>
          <w:b/>
          <w:sz w:val="20"/>
          <w:szCs w:val="20"/>
        </w:rPr>
        <w:t xml:space="preserve">stand out in terms of </w:t>
      </w:r>
      <w:r w:rsidRPr="00902976">
        <w:rPr>
          <w:rFonts w:ascii="Verdana" w:hAnsi="Verdana" w:cs="Arial"/>
          <w:b/>
          <w:sz w:val="20"/>
          <w:szCs w:val="20"/>
        </w:rPr>
        <w:t>income inequality?</w:t>
      </w:r>
    </w:p>
    <w:p w14:paraId="1CDBC5A4" w14:textId="77777777" w:rsidR="00902976" w:rsidRDefault="00902976" w:rsidP="00902976">
      <w:pPr>
        <w:spacing w:after="0" w:line="240" w:lineRule="auto"/>
        <w:jc w:val="both"/>
        <w:rPr>
          <w:rFonts w:ascii="Verdana" w:hAnsi="Verdana" w:cs="Arial"/>
          <w:sz w:val="20"/>
          <w:szCs w:val="20"/>
        </w:rPr>
      </w:pPr>
    </w:p>
    <w:p w14:paraId="3639E7CA" w14:textId="77777777" w:rsidR="00902976" w:rsidRDefault="00902976" w:rsidP="00902976">
      <w:pPr>
        <w:spacing w:after="0" w:line="240" w:lineRule="auto"/>
        <w:jc w:val="both"/>
        <w:rPr>
          <w:rFonts w:ascii="Verdana" w:hAnsi="Verdana" w:cs="Arial"/>
          <w:sz w:val="20"/>
          <w:szCs w:val="20"/>
        </w:rPr>
      </w:pPr>
      <w:r>
        <w:rPr>
          <w:rFonts w:ascii="Verdana" w:hAnsi="Verdana" w:cs="Arial"/>
          <w:sz w:val="20"/>
          <w:szCs w:val="20"/>
        </w:rPr>
        <w:t xml:space="preserve">The largest increases in income inequality – of at least 5 percentage points – occurred in four southern European countries (Greece, Italy, Portugal, and Spain) and three Eastern European countries (Hungary, Slovakia and Slovenia). Scandinavian countries, with the exception of mid-ranking Sweden, have the smallest relative income gaps. </w:t>
      </w:r>
    </w:p>
    <w:p w14:paraId="667E0799" w14:textId="77777777" w:rsidR="00902976" w:rsidRDefault="00902976" w:rsidP="00902976">
      <w:pPr>
        <w:spacing w:after="0" w:line="240" w:lineRule="auto"/>
        <w:jc w:val="both"/>
        <w:rPr>
          <w:rFonts w:ascii="Verdana" w:hAnsi="Verdana" w:cs="Arial"/>
          <w:sz w:val="20"/>
          <w:szCs w:val="20"/>
        </w:rPr>
      </w:pPr>
    </w:p>
    <w:p w14:paraId="0BF662E9" w14:textId="77777777" w:rsidR="00BE43C2" w:rsidRDefault="00902976" w:rsidP="00BE43C2">
      <w:pPr>
        <w:spacing w:after="0" w:line="240" w:lineRule="auto"/>
        <w:jc w:val="both"/>
        <w:rPr>
          <w:rFonts w:ascii="Verdana" w:hAnsi="Verdana" w:cs="Arial"/>
          <w:sz w:val="20"/>
          <w:szCs w:val="20"/>
        </w:rPr>
      </w:pPr>
      <w:r>
        <w:rPr>
          <w:rFonts w:ascii="Verdana" w:hAnsi="Verdana" w:cs="Arial"/>
          <w:sz w:val="20"/>
          <w:szCs w:val="20"/>
        </w:rPr>
        <w:t>Two of the world’s wealthiest countries, Japan and the United States, were positioned in the bottom third of the league table for income inequality. In Japan t</w:t>
      </w:r>
      <w:r w:rsidRPr="00891EF2">
        <w:rPr>
          <w:rFonts w:ascii="Verdana" w:hAnsi="Verdana" w:cs="Arial"/>
          <w:sz w:val="20"/>
          <w:szCs w:val="20"/>
        </w:rPr>
        <w:t xml:space="preserve">he household income of </w:t>
      </w:r>
      <w:r>
        <w:rPr>
          <w:rFonts w:ascii="Verdana" w:hAnsi="Verdana" w:cs="Arial"/>
          <w:sz w:val="20"/>
          <w:szCs w:val="20"/>
        </w:rPr>
        <w:t xml:space="preserve">a child at the 10th percentile </w:t>
      </w:r>
      <w:r w:rsidRPr="00891EF2">
        <w:rPr>
          <w:rFonts w:ascii="Verdana" w:hAnsi="Verdana" w:cs="Arial"/>
          <w:sz w:val="20"/>
          <w:szCs w:val="20"/>
        </w:rPr>
        <w:t xml:space="preserve">is </w:t>
      </w:r>
      <w:r>
        <w:rPr>
          <w:rFonts w:ascii="Verdana" w:hAnsi="Verdana" w:cs="Arial"/>
          <w:sz w:val="20"/>
          <w:szCs w:val="20"/>
        </w:rPr>
        <w:t>60.17</w:t>
      </w:r>
      <w:r w:rsidRPr="00891EF2">
        <w:rPr>
          <w:rFonts w:ascii="Verdana" w:hAnsi="Verdana" w:cs="Arial"/>
          <w:sz w:val="20"/>
          <w:szCs w:val="20"/>
        </w:rPr>
        <w:t xml:space="preserve"> per cent lower than that of </w:t>
      </w:r>
      <w:r>
        <w:rPr>
          <w:rFonts w:ascii="Verdana" w:hAnsi="Verdana" w:cs="Arial"/>
          <w:sz w:val="20"/>
          <w:szCs w:val="20"/>
        </w:rPr>
        <w:t>a</w:t>
      </w:r>
      <w:r w:rsidRPr="00891EF2">
        <w:rPr>
          <w:rFonts w:ascii="Verdana" w:hAnsi="Verdana" w:cs="Arial"/>
          <w:sz w:val="20"/>
          <w:szCs w:val="20"/>
        </w:rPr>
        <w:t xml:space="preserve"> child in the middle of the income distribution</w:t>
      </w:r>
      <w:r>
        <w:rPr>
          <w:rFonts w:ascii="Verdana" w:hAnsi="Verdana" w:cs="Arial"/>
          <w:sz w:val="20"/>
          <w:szCs w:val="20"/>
        </w:rPr>
        <w:t>,</w:t>
      </w:r>
      <w:r w:rsidRPr="00891EF2">
        <w:rPr>
          <w:rFonts w:ascii="Verdana" w:hAnsi="Verdana" w:cs="Arial"/>
          <w:sz w:val="20"/>
          <w:szCs w:val="20"/>
        </w:rPr>
        <w:t xml:space="preserve"> and 58.85 per cent </w:t>
      </w:r>
      <w:r w:rsidR="0060183D">
        <w:rPr>
          <w:rFonts w:ascii="Verdana" w:hAnsi="Verdana" w:cs="Arial"/>
          <w:sz w:val="20"/>
          <w:szCs w:val="20"/>
        </w:rPr>
        <w:t xml:space="preserve">lower </w:t>
      </w:r>
      <w:r w:rsidRPr="00891EF2">
        <w:rPr>
          <w:rFonts w:ascii="Verdana" w:hAnsi="Verdana" w:cs="Arial"/>
          <w:sz w:val="20"/>
          <w:szCs w:val="20"/>
        </w:rPr>
        <w:t xml:space="preserve">in </w:t>
      </w:r>
      <w:r>
        <w:rPr>
          <w:rFonts w:ascii="Verdana" w:hAnsi="Verdana" w:cs="Arial"/>
          <w:sz w:val="20"/>
          <w:szCs w:val="20"/>
        </w:rPr>
        <w:t>the United States</w:t>
      </w:r>
      <w:r w:rsidRPr="00891EF2">
        <w:rPr>
          <w:rFonts w:ascii="Verdana" w:hAnsi="Verdana" w:cs="Arial"/>
          <w:sz w:val="20"/>
          <w:szCs w:val="20"/>
        </w:rPr>
        <w:t>.</w:t>
      </w:r>
    </w:p>
    <w:p w14:paraId="063D2E75" w14:textId="77777777" w:rsidR="00BE43C2" w:rsidRDefault="00BE43C2" w:rsidP="00BE43C2">
      <w:pPr>
        <w:spacing w:after="0" w:line="240" w:lineRule="auto"/>
        <w:jc w:val="both"/>
        <w:rPr>
          <w:rFonts w:ascii="Verdana" w:hAnsi="Verdana" w:cs="Arial"/>
          <w:sz w:val="20"/>
          <w:szCs w:val="20"/>
        </w:rPr>
      </w:pPr>
    </w:p>
    <w:p w14:paraId="742BFF9D" w14:textId="77777777" w:rsidR="00BE43C2" w:rsidRDefault="00BE43C2" w:rsidP="00BE43C2">
      <w:pPr>
        <w:spacing w:after="0" w:line="240" w:lineRule="auto"/>
        <w:jc w:val="both"/>
        <w:rPr>
          <w:rFonts w:ascii="Verdana" w:hAnsi="Verdana" w:cs="Arial"/>
          <w:b/>
          <w:sz w:val="20"/>
          <w:szCs w:val="20"/>
        </w:rPr>
      </w:pPr>
      <w:r>
        <w:rPr>
          <w:rFonts w:ascii="Verdana" w:hAnsi="Verdana" w:cs="Arial"/>
          <w:b/>
          <w:sz w:val="20"/>
          <w:szCs w:val="20"/>
        </w:rPr>
        <w:t>What does the report show in terms of education inequality?</w:t>
      </w:r>
    </w:p>
    <w:p w14:paraId="56FA2451" w14:textId="77777777" w:rsidR="00BE43C2" w:rsidRDefault="00BE43C2" w:rsidP="00BE43C2">
      <w:pPr>
        <w:spacing w:after="0" w:line="240" w:lineRule="auto"/>
        <w:jc w:val="both"/>
        <w:rPr>
          <w:rFonts w:ascii="Verdana" w:hAnsi="Verdana" w:cs="Arial"/>
          <w:sz w:val="20"/>
          <w:szCs w:val="20"/>
        </w:rPr>
      </w:pPr>
    </w:p>
    <w:p w14:paraId="5550220C" w14:textId="77777777" w:rsidR="00BE43C2" w:rsidRDefault="00902976" w:rsidP="00BE43C2">
      <w:pPr>
        <w:spacing w:after="0" w:line="240" w:lineRule="auto"/>
        <w:jc w:val="both"/>
        <w:rPr>
          <w:rFonts w:ascii="Verdana" w:hAnsi="Verdana" w:cs="Arial"/>
          <w:sz w:val="20"/>
          <w:szCs w:val="20"/>
        </w:rPr>
      </w:pPr>
      <w:r>
        <w:rPr>
          <w:rFonts w:ascii="Verdana" w:hAnsi="Verdana" w:cs="Arial"/>
          <w:sz w:val="20"/>
          <w:szCs w:val="20"/>
        </w:rPr>
        <w:t xml:space="preserve">Inequality in </w:t>
      </w:r>
      <w:r w:rsidR="00F00231">
        <w:rPr>
          <w:rFonts w:ascii="Verdana" w:hAnsi="Verdana" w:cs="Arial"/>
          <w:sz w:val="20"/>
          <w:szCs w:val="20"/>
        </w:rPr>
        <w:t>reading</w:t>
      </w:r>
      <w:r>
        <w:rPr>
          <w:rFonts w:ascii="Verdana" w:hAnsi="Verdana" w:cs="Arial"/>
          <w:sz w:val="20"/>
          <w:szCs w:val="20"/>
        </w:rPr>
        <w:t xml:space="preserve"> narrowed in the majority of countries between 2006 and 2012, with the exception of Finland and Sweden which saw bottom-end inequality increase alongside a worrying fall in median test scores. The largest improvements were made in Chile, the Czech Republic, Germany and Mexico. </w:t>
      </w:r>
    </w:p>
    <w:p w14:paraId="7E371267" w14:textId="77777777" w:rsidR="00BE43C2" w:rsidRDefault="00BE43C2" w:rsidP="00BE43C2">
      <w:pPr>
        <w:spacing w:after="0" w:line="240" w:lineRule="auto"/>
        <w:jc w:val="both"/>
        <w:rPr>
          <w:rFonts w:ascii="Verdana" w:hAnsi="Verdana" w:cs="Arial"/>
          <w:sz w:val="20"/>
          <w:szCs w:val="20"/>
        </w:rPr>
      </w:pPr>
    </w:p>
    <w:p w14:paraId="21C9F6C6" w14:textId="77777777" w:rsidR="00BE43C2" w:rsidRDefault="00902976" w:rsidP="00BE43C2">
      <w:pPr>
        <w:spacing w:after="0" w:line="240" w:lineRule="auto"/>
        <w:jc w:val="both"/>
        <w:rPr>
          <w:rFonts w:ascii="Verdana" w:hAnsi="Verdana" w:cs="Arial"/>
          <w:sz w:val="20"/>
          <w:szCs w:val="20"/>
        </w:rPr>
      </w:pPr>
      <w:r>
        <w:rPr>
          <w:rFonts w:ascii="Verdana" w:hAnsi="Verdana" w:cs="Arial"/>
          <w:sz w:val="20"/>
          <w:szCs w:val="20"/>
        </w:rPr>
        <w:t>Finland and Sweden saw a notable i</w:t>
      </w:r>
      <w:r w:rsidR="0060183D">
        <w:rPr>
          <w:rFonts w:ascii="Verdana" w:hAnsi="Verdana" w:cs="Arial"/>
          <w:sz w:val="20"/>
          <w:szCs w:val="20"/>
        </w:rPr>
        <w:t>ncrease in the proportion of 15-year-</w:t>
      </w:r>
      <w:r>
        <w:rPr>
          <w:rFonts w:ascii="Verdana" w:hAnsi="Verdana" w:cs="Arial"/>
          <w:sz w:val="20"/>
          <w:szCs w:val="20"/>
        </w:rPr>
        <w:t xml:space="preserve">olds who failed to achieve proficiency level 2 in maths, reading and science, suggesting that there is a growing group of very disadvantaged children in these two countries. </w:t>
      </w:r>
    </w:p>
    <w:p w14:paraId="5C0CDF6C" w14:textId="77777777" w:rsidR="00BE43C2" w:rsidRDefault="00BE43C2" w:rsidP="00BE43C2">
      <w:pPr>
        <w:spacing w:after="0" w:line="240" w:lineRule="auto"/>
        <w:jc w:val="both"/>
        <w:rPr>
          <w:rFonts w:ascii="Verdana" w:hAnsi="Verdana" w:cs="Arial"/>
          <w:sz w:val="20"/>
          <w:szCs w:val="20"/>
        </w:rPr>
      </w:pPr>
    </w:p>
    <w:p w14:paraId="74E415BC" w14:textId="77777777" w:rsidR="00BE43C2" w:rsidRDefault="00902976" w:rsidP="00BE43C2">
      <w:pPr>
        <w:spacing w:after="0" w:line="240" w:lineRule="auto"/>
        <w:jc w:val="both"/>
        <w:rPr>
          <w:rFonts w:ascii="Verdana" w:hAnsi="Verdana" w:cs="Arial"/>
          <w:sz w:val="20"/>
          <w:szCs w:val="20"/>
        </w:rPr>
      </w:pPr>
      <w:r>
        <w:rPr>
          <w:rFonts w:ascii="Verdana" w:hAnsi="Verdana" w:cs="Arial"/>
          <w:sz w:val="20"/>
          <w:szCs w:val="20"/>
        </w:rPr>
        <w:t xml:space="preserve">Whilst some countries are </w:t>
      </w:r>
      <w:r w:rsidR="00F00231">
        <w:rPr>
          <w:rFonts w:ascii="Verdana" w:hAnsi="Verdana" w:cs="Arial"/>
          <w:sz w:val="20"/>
          <w:szCs w:val="20"/>
        </w:rPr>
        <w:t>improving</w:t>
      </w:r>
      <w:r>
        <w:rPr>
          <w:rFonts w:ascii="Verdana" w:hAnsi="Verdana" w:cs="Arial"/>
          <w:sz w:val="20"/>
          <w:szCs w:val="20"/>
        </w:rPr>
        <w:t xml:space="preserve">, others demonstrate a worrying regressive trend in terms of their support for children at the ‘bottom’. </w:t>
      </w:r>
    </w:p>
    <w:p w14:paraId="6D22D5E4" w14:textId="77777777" w:rsidR="00BE43C2" w:rsidRDefault="00BE43C2" w:rsidP="00BE43C2">
      <w:pPr>
        <w:spacing w:after="0" w:line="240" w:lineRule="auto"/>
        <w:jc w:val="both"/>
        <w:rPr>
          <w:rFonts w:ascii="Verdana" w:hAnsi="Verdana" w:cs="Arial"/>
          <w:sz w:val="20"/>
          <w:szCs w:val="20"/>
        </w:rPr>
      </w:pPr>
    </w:p>
    <w:p w14:paraId="6C746AC3" w14:textId="77777777" w:rsidR="00BE43C2" w:rsidRDefault="00902976" w:rsidP="00BE43C2">
      <w:pPr>
        <w:spacing w:after="0" w:line="240" w:lineRule="auto"/>
        <w:jc w:val="both"/>
        <w:rPr>
          <w:rFonts w:ascii="Verdana" w:hAnsi="Verdana" w:cs="Arial"/>
          <w:sz w:val="20"/>
          <w:szCs w:val="20"/>
        </w:rPr>
      </w:pPr>
      <w:r w:rsidRPr="00944883">
        <w:rPr>
          <w:rFonts w:ascii="Verdana" w:hAnsi="Verdana" w:cs="Arial"/>
          <w:sz w:val="20"/>
          <w:szCs w:val="20"/>
        </w:rPr>
        <w:t>The evidence presented in the report shows that large relative education</w:t>
      </w:r>
      <w:r>
        <w:rPr>
          <w:rFonts w:ascii="Verdana" w:hAnsi="Verdana" w:cs="Arial"/>
          <w:sz w:val="20"/>
          <w:szCs w:val="20"/>
        </w:rPr>
        <w:t>al</w:t>
      </w:r>
      <w:r w:rsidRPr="00944883">
        <w:rPr>
          <w:rFonts w:ascii="Verdana" w:hAnsi="Verdana" w:cs="Arial"/>
          <w:sz w:val="20"/>
          <w:szCs w:val="20"/>
        </w:rPr>
        <w:t xml:space="preserve"> achievement gaps are not inevitable. Strong all-round performance seen in countries such as Estonia</w:t>
      </w:r>
      <w:r w:rsidR="00F00231">
        <w:rPr>
          <w:rFonts w:ascii="Verdana" w:hAnsi="Verdana" w:cs="Arial"/>
          <w:sz w:val="20"/>
          <w:szCs w:val="20"/>
        </w:rPr>
        <w:t>, Ireland,</w:t>
      </w:r>
      <w:r>
        <w:rPr>
          <w:rFonts w:ascii="Verdana" w:hAnsi="Verdana" w:cs="Arial"/>
          <w:sz w:val="20"/>
          <w:szCs w:val="20"/>
        </w:rPr>
        <w:t xml:space="preserve"> </w:t>
      </w:r>
      <w:r w:rsidRPr="00944883">
        <w:rPr>
          <w:rFonts w:ascii="Verdana" w:hAnsi="Verdana" w:cs="Arial"/>
          <w:sz w:val="20"/>
          <w:szCs w:val="20"/>
        </w:rPr>
        <w:t xml:space="preserve">Poland </w:t>
      </w:r>
      <w:r w:rsidR="00F00231">
        <w:rPr>
          <w:rFonts w:ascii="Verdana" w:hAnsi="Verdana" w:cs="Arial"/>
          <w:sz w:val="20"/>
          <w:szCs w:val="20"/>
        </w:rPr>
        <w:t xml:space="preserve">and Latvia </w:t>
      </w:r>
      <w:r w:rsidRPr="00944883">
        <w:rPr>
          <w:rFonts w:ascii="Verdana" w:hAnsi="Verdana" w:cs="Arial"/>
          <w:sz w:val="20"/>
          <w:szCs w:val="20"/>
        </w:rPr>
        <w:t>shows that there is no need to sacrifice a rise in overall education</w:t>
      </w:r>
      <w:r>
        <w:rPr>
          <w:rFonts w:ascii="Verdana" w:hAnsi="Verdana" w:cs="Arial"/>
          <w:sz w:val="20"/>
          <w:szCs w:val="20"/>
        </w:rPr>
        <w:t>al</w:t>
      </w:r>
      <w:r w:rsidRPr="00944883">
        <w:rPr>
          <w:rFonts w:ascii="Verdana" w:hAnsi="Verdana" w:cs="Arial"/>
          <w:sz w:val="20"/>
          <w:szCs w:val="20"/>
        </w:rPr>
        <w:t xml:space="preserve"> achievement in order to reduce relative achievement gaps or absolute educational disadvantage. </w:t>
      </w:r>
    </w:p>
    <w:p w14:paraId="49309A13" w14:textId="77777777" w:rsidR="00BE43C2" w:rsidRDefault="00BE43C2" w:rsidP="00BE43C2">
      <w:pPr>
        <w:spacing w:after="0" w:line="240" w:lineRule="auto"/>
        <w:jc w:val="both"/>
        <w:rPr>
          <w:rFonts w:ascii="Verdana" w:hAnsi="Verdana" w:cs="Arial"/>
          <w:sz w:val="20"/>
          <w:szCs w:val="20"/>
        </w:rPr>
      </w:pPr>
    </w:p>
    <w:p w14:paraId="68939FA5" w14:textId="77777777" w:rsidR="00BE43C2" w:rsidRDefault="00BE43C2" w:rsidP="00BE43C2">
      <w:pPr>
        <w:spacing w:after="0" w:line="240" w:lineRule="auto"/>
        <w:jc w:val="both"/>
        <w:rPr>
          <w:rFonts w:ascii="Verdana" w:hAnsi="Verdana" w:cs="Arial"/>
          <w:sz w:val="20"/>
          <w:szCs w:val="20"/>
        </w:rPr>
      </w:pPr>
      <w:r>
        <w:rPr>
          <w:rFonts w:ascii="Verdana" w:hAnsi="Verdana" w:cs="Arial"/>
          <w:b/>
          <w:sz w:val="20"/>
          <w:szCs w:val="20"/>
        </w:rPr>
        <w:t>What does the report show in terms of health inequality?</w:t>
      </w:r>
    </w:p>
    <w:p w14:paraId="0260677E" w14:textId="77777777" w:rsidR="00BE43C2" w:rsidRDefault="00BE43C2" w:rsidP="00BE43C2">
      <w:pPr>
        <w:spacing w:after="0" w:line="240" w:lineRule="auto"/>
        <w:jc w:val="both"/>
        <w:rPr>
          <w:rFonts w:ascii="Verdana" w:hAnsi="Verdana" w:cs="Arial"/>
          <w:sz w:val="20"/>
          <w:szCs w:val="20"/>
        </w:rPr>
      </w:pPr>
    </w:p>
    <w:p w14:paraId="476F0B7D" w14:textId="77777777" w:rsidR="00902976" w:rsidRDefault="00902976" w:rsidP="00BE43C2">
      <w:pPr>
        <w:spacing w:after="0" w:line="240" w:lineRule="auto"/>
        <w:jc w:val="both"/>
        <w:rPr>
          <w:rFonts w:ascii="Verdana" w:hAnsi="Verdana" w:cs="Arial"/>
          <w:sz w:val="20"/>
          <w:szCs w:val="20"/>
        </w:rPr>
      </w:pPr>
      <w:r>
        <w:rPr>
          <w:rFonts w:ascii="Verdana" w:hAnsi="Verdana" w:cs="Arial"/>
          <w:sz w:val="20"/>
          <w:szCs w:val="20"/>
        </w:rPr>
        <w:t xml:space="preserve">Inequality in children’s health increased in the majority of countries. </w:t>
      </w:r>
    </w:p>
    <w:p w14:paraId="0A189587" w14:textId="77777777" w:rsidR="0060183D" w:rsidRDefault="0060183D" w:rsidP="00BE43C2">
      <w:pPr>
        <w:spacing w:after="0" w:line="240" w:lineRule="auto"/>
        <w:jc w:val="both"/>
        <w:rPr>
          <w:rFonts w:ascii="Verdana" w:hAnsi="Verdana" w:cs="Arial"/>
          <w:sz w:val="20"/>
          <w:szCs w:val="20"/>
        </w:rPr>
      </w:pPr>
    </w:p>
    <w:p w14:paraId="6C2D21B9" w14:textId="77777777" w:rsidR="00902976" w:rsidRDefault="00902976" w:rsidP="00BE43C2">
      <w:pPr>
        <w:spacing w:after="0" w:line="240" w:lineRule="auto"/>
        <w:jc w:val="both"/>
        <w:rPr>
          <w:rFonts w:ascii="Verdana" w:hAnsi="Verdana" w:cs="Arial"/>
          <w:sz w:val="20"/>
          <w:szCs w:val="20"/>
        </w:rPr>
      </w:pPr>
      <w:r>
        <w:rPr>
          <w:rFonts w:ascii="Verdana" w:hAnsi="Verdana" w:cs="Arial"/>
          <w:sz w:val="20"/>
          <w:szCs w:val="20"/>
        </w:rPr>
        <w:t xml:space="preserve">Data from the 2013/2014 Health Behaviour in School-Aged Children (HBSC) study highlighted in the health league tables in the report show that the average relative gap in children’s self-reported health symptoms is 29 per cent across the 35 countries examined. </w:t>
      </w:r>
    </w:p>
    <w:p w14:paraId="1A73B391" w14:textId="77777777" w:rsidR="00BE43C2" w:rsidRDefault="00BE43C2" w:rsidP="00BE43C2">
      <w:pPr>
        <w:spacing w:after="0" w:line="240" w:lineRule="auto"/>
        <w:jc w:val="both"/>
        <w:rPr>
          <w:rFonts w:ascii="Verdana" w:hAnsi="Verdana" w:cs="Arial"/>
          <w:sz w:val="20"/>
          <w:szCs w:val="20"/>
        </w:rPr>
      </w:pPr>
    </w:p>
    <w:p w14:paraId="63BC70CE" w14:textId="77777777" w:rsidR="00902976" w:rsidRDefault="00902976" w:rsidP="00BE43C2">
      <w:pPr>
        <w:spacing w:after="0" w:line="240" w:lineRule="auto"/>
        <w:jc w:val="both"/>
        <w:rPr>
          <w:rFonts w:ascii="Verdana" w:hAnsi="Verdana" w:cs="Arial"/>
          <w:sz w:val="20"/>
          <w:szCs w:val="20"/>
        </w:rPr>
      </w:pPr>
      <w:r>
        <w:rPr>
          <w:rFonts w:ascii="Verdana" w:hAnsi="Verdana" w:cs="Arial"/>
          <w:sz w:val="20"/>
          <w:szCs w:val="20"/>
        </w:rPr>
        <w:t xml:space="preserve">The smallest health gaps are found in Austria (23.6 per cent), Germany (24.8 per cent), and Switzerland (25 per cent). The largest inequalities in children’s health are found in Israel where the relative health gap is 38.9 per cent, and Turkey, 34.5 per cent. </w:t>
      </w:r>
    </w:p>
    <w:p w14:paraId="4F407257" w14:textId="77777777" w:rsidR="00BE43C2" w:rsidRDefault="00BE43C2" w:rsidP="00BE43C2">
      <w:pPr>
        <w:spacing w:after="0" w:line="240" w:lineRule="auto"/>
        <w:jc w:val="both"/>
        <w:rPr>
          <w:rFonts w:ascii="Verdana" w:hAnsi="Verdana" w:cs="Arial"/>
          <w:sz w:val="20"/>
          <w:szCs w:val="20"/>
        </w:rPr>
      </w:pPr>
    </w:p>
    <w:p w14:paraId="766F55D5" w14:textId="77777777" w:rsidR="00902976" w:rsidRDefault="00902976" w:rsidP="00BE43C2">
      <w:pPr>
        <w:spacing w:after="0" w:line="240" w:lineRule="auto"/>
        <w:jc w:val="both"/>
        <w:rPr>
          <w:rFonts w:ascii="Verdana" w:hAnsi="Verdana" w:cs="Arial"/>
          <w:sz w:val="20"/>
          <w:szCs w:val="20"/>
        </w:rPr>
      </w:pPr>
      <w:r>
        <w:rPr>
          <w:rFonts w:ascii="Verdana" w:hAnsi="Verdana" w:cs="Arial"/>
          <w:sz w:val="20"/>
          <w:szCs w:val="20"/>
        </w:rPr>
        <w:t xml:space="preserve">More than half of children in Turkey and around a third of children in Bulgaria, France, Israel, Malta and Romania report one or more health symptom a day. </w:t>
      </w:r>
    </w:p>
    <w:p w14:paraId="283CD19A" w14:textId="77777777" w:rsidR="00BE43C2" w:rsidRDefault="00BE43C2" w:rsidP="00BE43C2">
      <w:pPr>
        <w:spacing w:after="0" w:line="240" w:lineRule="auto"/>
        <w:jc w:val="both"/>
        <w:rPr>
          <w:rFonts w:ascii="Verdana" w:hAnsi="Verdana" w:cs="Arial"/>
          <w:sz w:val="20"/>
          <w:szCs w:val="20"/>
        </w:rPr>
      </w:pPr>
    </w:p>
    <w:p w14:paraId="4041D949" w14:textId="77777777" w:rsidR="00BE43C2" w:rsidRDefault="00902976" w:rsidP="00BE43C2">
      <w:pPr>
        <w:spacing w:after="0" w:line="240" w:lineRule="auto"/>
        <w:jc w:val="both"/>
        <w:rPr>
          <w:rFonts w:ascii="Verdana" w:hAnsi="Verdana" w:cs="Arial"/>
          <w:sz w:val="20"/>
          <w:szCs w:val="20"/>
        </w:rPr>
      </w:pPr>
      <w:r>
        <w:rPr>
          <w:rFonts w:ascii="Verdana" w:hAnsi="Verdana" w:cs="Arial"/>
          <w:sz w:val="20"/>
          <w:szCs w:val="20"/>
        </w:rPr>
        <w:t xml:space="preserve">Adolescent girls are persistently more likely to fall behind in health. In </w:t>
      </w:r>
      <w:r w:rsidR="0060183D">
        <w:rPr>
          <w:rFonts w:ascii="Verdana" w:hAnsi="Verdana" w:cs="Arial"/>
          <w:sz w:val="20"/>
          <w:szCs w:val="20"/>
        </w:rPr>
        <w:t>2002, the gender gap has increased in 10 countries</w:t>
      </w:r>
      <w:r>
        <w:rPr>
          <w:rFonts w:ascii="Verdana" w:hAnsi="Verdana" w:cs="Arial"/>
          <w:sz w:val="20"/>
          <w:szCs w:val="20"/>
        </w:rPr>
        <w:t xml:space="preserve"> including in Canada, Sweden, the United Kingdom and the United States. </w:t>
      </w:r>
      <w:r w:rsidRPr="00EA46BF">
        <w:rPr>
          <w:rFonts w:ascii="Verdana" w:hAnsi="Verdana" w:cs="Lucida Grande"/>
          <w:sz w:val="20"/>
          <w:szCs w:val="20"/>
        </w:rPr>
        <w:t>These differences are likely to endure into adulthood.</w:t>
      </w:r>
      <w:r>
        <w:rPr>
          <w:rFonts w:ascii="Verdana" w:hAnsi="Verdana" w:cs="Arial"/>
          <w:sz w:val="20"/>
          <w:szCs w:val="20"/>
        </w:rPr>
        <w:t xml:space="preserve"> </w:t>
      </w:r>
    </w:p>
    <w:p w14:paraId="3939A547" w14:textId="77777777" w:rsidR="00BE43C2" w:rsidRDefault="00BE43C2" w:rsidP="00BE43C2">
      <w:pPr>
        <w:spacing w:after="0" w:line="240" w:lineRule="auto"/>
        <w:jc w:val="both"/>
        <w:rPr>
          <w:rFonts w:ascii="Verdana" w:hAnsi="Verdana" w:cs="Arial"/>
          <w:sz w:val="20"/>
          <w:szCs w:val="20"/>
        </w:rPr>
      </w:pPr>
    </w:p>
    <w:p w14:paraId="738673E0" w14:textId="77777777" w:rsidR="00BE43C2" w:rsidRDefault="00BE43C2" w:rsidP="00BE43C2">
      <w:pPr>
        <w:spacing w:after="0" w:line="240" w:lineRule="auto"/>
        <w:jc w:val="both"/>
        <w:rPr>
          <w:rFonts w:ascii="Verdana" w:hAnsi="Verdana" w:cs="Arial"/>
          <w:sz w:val="20"/>
          <w:szCs w:val="20"/>
        </w:rPr>
      </w:pPr>
      <w:r>
        <w:rPr>
          <w:rFonts w:ascii="Verdana" w:hAnsi="Verdana" w:cs="Arial"/>
          <w:b/>
          <w:sz w:val="20"/>
          <w:szCs w:val="20"/>
        </w:rPr>
        <w:t>What does the report show in terms of life satisfaction inequality?</w:t>
      </w:r>
    </w:p>
    <w:p w14:paraId="08184579" w14:textId="77777777" w:rsidR="00BE43C2" w:rsidRDefault="00BE43C2" w:rsidP="00BE43C2">
      <w:pPr>
        <w:spacing w:after="0" w:line="240" w:lineRule="auto"/>
        <w:jc w:val="both"/>
        <w:rPr>
          <w:rFonts w:ascii="Verdana" w:hAnsi="Verdana" w:cs="Arial"/>
          <w:sz w:val="20"/>
          <w:szCs w:val="20"/>
        </w:rPr>
      </w:pPr>
    </w:p>
    <w:p w14:paraId="262DF86B" w14:textId="77777777" w:rsidR="00902976" w:rsidRDefault="00902976" w:rsidP="00BE43C2">
      <w:pPr>
        <w:spacing w:after="0" w:line="240" w:lineRule="auto"/>
        <w:jc w:val="both"/>
        <w:rPr>
          <w:rFonts w:ascii="Verdana" w:hAnsi="Verdana" w:cs="Arial"/>
          <w:sz w:val="20"/>
          <w:szCs w:val="20"/>
        </w:rPr>
      </w:pPr>
      <w:r>
        <w:rPr>
          <w:rFonts w:ascii="Verdana" w:hAnsi="Verdana" w:cs="Arial"/>
          <w:sz w:val="20"/>
          <w:szCs w:val="20"/>
        </w:rPr>
        <w:t>The life satisfaction scores are based on children’s own ratings of their life satisfaction on the scale of 0 (“worst possible life for you”) to 10 (“best possible life for you”).</w:t>
      </w:r>
    </w:p>
    <w:p w14:paraId="4C9FE2F5" w14:textId="77777777" w:rsidR="00BE43C2" w:rsidRDefault="00BE43C2" w:rsidP="00BE43C2">
      <w:pPr>
        <w:spacing w:after="0" w:line="240" w:lineRule="auto"/>
        <w:jc w:val="both"/>
        <w:rPr>
          <w:rFonts w:ascii="Verdana" w:hAnsi="Verdana" w:cs="Arial"/>
          <w:sz w:val="20"/>
          <w:szCs w:val="20"/>
        </w:rPr>
      </w:pPr>
    </w:p>
    <w:p w14:paraId="2CD2B2C9" w14:textId="77777777" w:rsidR="00902976" w:rsidRDefault="00902976" w:rsidP="00BE43C2">
      <w:pPr>
        <w:spacing w:after="0" w:line="240" w:lineRule="auto"/>
        <w:jc w:val="both"/>
        <w:rPr>
          <w:rFonts w:ascii="Verdana" w:hAnsi="Verdana" w:cs="Arial"/>
          <w:sz w:val="20"/>
          <w:szCs w:val="20"/>
        </w:rPr>
      </w:pPr>
      <w:r>
        <w:rPr>
          <w:rFonts w:ascii="Verdana" w:hAnsi="Verdana" w:cs="Arial"/>
          <w:sz w:val="20"/>
          <w:szCs w:val="20"/>
        </w:rPr>
        <w:t xml:space="preserve">The ‘average’ child reports life satisfaction of 8 out of 10 in almost all countries, but children at the lower end of the life satisfaction distribution fall far behind their peers – typically between 2.5 and 3 points out of 10 lower than the median. </w:t>
      </w:r>
    </w:p>
    <w:p w14:paraId="2A21A46F" w14:textId="77777777" w:rsidR="00BE43C2" w:rsidRDefault="00BE43C2" w:rsidP="00BE43C2">
      <w:pPr>
        <w:spacing w:after="0" w:line="240" w:lineRule="auto"/>
        <w:jc w:val="both"/>
        <w:rPr>
          <w:rFonts w:ascii="Verdana" w:hAnsi="Verdana" w:cs="Arial"/>
          <w:sz w:val="20"/>
          <w:szCs w:val="20"/>
        </w:rPr>
      </w:pPr>
    </w:p>
    <w:p w14:paraId="67AE00E0" w14:textId="77777777" w:rsidR="00902976" w:rsidRDefault="00902976" w:rsidP="00BE43C2">
      <w:pPr>
        <w:spacing w:after="0" w:line="240" w:lineRule="auto"/>
        <w:jc w:val="both"/>
        <w:rPr>
          <w:rFonts w:ascii="Verdana" w:hAnsi="Verdana" w:cs="Arial"/>
          <w:sz w:val="20"/>
          <w:szCs w:val="20"/>
        </w:rPr>
      </w:pPr>
      <w:r>
        <w:rPr>
          <w:rFonts w:ascii="Verdana" w:hAnsi="Verdana" w:cs="Arial"/>
          <w:sz w:val="20"/>
          <w:szCs w:val="20"/>
        </w:rPr>
        <w:t xml:space="preserve">Children at the bottom fall furthest behind in Turkey, where the relative life satisfaction gap is 36 per cent. Over 15 per cent of children in Turkey rate their life satisfaction as 4 out of 10 or below. The smallest relative gap (24 per cent) is found in the Netherlands. </w:t>
      </w:r>
    </w:p>
    <w:p w14:paraId="19648751" w14:textId="77777777" w:rsidR="00BE43C2" w:rsidRDefault="00BE43C2" w:rsidP="00BE43C2">
      <w:pPr>
        <w:spacing w:after="0" w:line="240" w:lineRule="auto"/>
        <w:jc w:val="both"/>
        <w:rPr>
          <w:rFonts w:ascii="Verdana" w:hAnsi="Verdana" w:cs="Arial"/>
          <w:sz w:val="20"/>
          <w:szCs w:val="20"/>
        </w:rPr>
      </w:pPr>
    </w:p>
    <w:p w14:paraId="40A7DE28" w14:textId="77777777" w:rsidR="00902976" w:rsidRDefault="00902976" w:rsidP="00BE43C2">
      <w:pPr>
        <w:spacing w:after="0" w:line="240" w:lineRule="auto"/>
        <w:jc w:val="both"/>
        <w:rPr>
          <w:rFonts w:ascii="Verdana" w:hAnsi="Verdana" w:cs="Arial"/>
          <w:sz w:val="20"/>
          <w:szCs w:val="20"/>
        </w:rPr>
      </w:pPr>
      <w:r>
        <w:rPr>
          <w:rFonts w:ascii="Verdana" w:hAnsi="Verdana" w:cs="Arial"/>
          <w:sz w:val="20"/>
          <w:szCs w:val="20"/>
        </w:rPr>
        <w:t xml:space="preserve">In </w:t>
      </w:r>
      <w:r w:rsidRPr="00E61646">
        <w:rPr>
          <w:rFonts w:ascii="Verdana" w:hAnsi="Verdana" w:cs="Arial"/>
          <w:sz w:val="20"/>
          <w:szCs w:val="20"/>
        </w:rPr>
        <w:t>Germany, Iceland</w:t>
      </w:r>
      <w:r>
        <w:rPr>
          <w:rFonts w:ascii="Verdana" w:hAnsi="Verdana" w:cs="Arial"/>
          <w:sz w:val="20"/>
          <w:szCs w:val="20"/>
        </w:rPr>
        <w:t>, Ireland, Italy, Spain, and the United States</w:t>
      </w:r>
      <w:r w:rsidRPr="00E61646">
        <w:rPr>
          <w:rFonts w:ascii="Verdana" w:hAnsi="Verdana" w:cs="Arial"/>
          <w:sz w:val="20"/>
          <w:szCs w:val="20"/>
        </w:rPr>
        <w:t>, either first- or second- generation migrant children reported lower life satisfaction than non-immigrant children</w:t>
      </w:r>
      <w:r>
        <w:rPr>
          <w:rFonts w:ascii="Verdana" w:hAnsi="Verdana" w:cs="Arial"/>
          <w:sz w:val="20"/>
          <w:szCs w:val="20"/>
        </w:rPr>
        <w:t>.</w:t>
      </w:r>
    </w:p>
    <w:p w14:paraId="0302730F" w14:textId="77777777" w:rsidR="00BE43C2" w:rsidRDefault="00BE43C2" w:rsidP="00BE43C2">
      <w:pPr>
        <w:spacing w:after="0" w:line="240" w:lineRule="auto"/>
        <w:jc w:val="both"/>
        <w:rPr>
          <w:rFonts w:ascii="Verdana" w:hAnsi="Verdana" w:cs="Arial"/>
          <w:sz w:val="20"/>
          <w:szCs w:val="20"/>
        </w:rPr>
      </w:pPr>
    </w:p>
    <w:p w14:paraId="1004C7B7" w14:textId="77777777" w:rsidR="00E07B8E" w:rsidRDefault="00902976" w:rsidP="00BE43C2">
      <w:pPr>
        <w:spacing w:after="0" w:line="240" w:lineRule="auto"/>
        <w:jc w:val="both"/>
        <w:rPr>
          <w:rFonts w:ascii="Verdana" w:hAnsi="Verdana" w:cs="Arial"/>
          <w:sz w:val="20"/>
          <w:szCs w:val="20"/>
        </w:rPr>
      </w:pPr>
      <w:r>
        <w:rPr>
          <w:rFonts w:ascii="Verdana" w:hAnsi="Verdana" w:cs="Arial"/>
          <w:sz w:val="20"/>
          <w:szCs w:val="20"/>
        </w:rPr>
        <w:t xml:space="preserve">At ages 13 and 15 girls are more likely than boys in all countries to have fallen behind in life satisfaction. At age 13, the largest gender gaps are in Malta and Sweden.  </w:t>
      </w:r>
    </w:p>
    <w:p w14:paraId="226E72FA" w14:textId="77777777" w:rsidR="00E07B8E" w:rsidRDefault="00E07B8E" w:rsidP="00E746E4">
      <w:pPr>
        <w:spacing w:after="0" w:line="240" w:lineRule="auto"/>
        <w:jc w:val="both"/>
        <w:rPr>
          <w:rFonts w:ascii="Verdana" w:hAnsi="Verdana" w:cs="Arial"/>
          <w:b/>
          <w:sz w:val="20"/>
          <w:szCs w:val="20"/>
        </w:rPr>
      </w:pPr>
    </w:p>
    <w:p w14:paraId="023DB3D8" w14:textId="77777777" w:rsidR="00E07B8E" w:rsidRPr="00902976" w:rsidRDefault="00E07B8E" w:rsidP="00E746E4">
      <w:pPr>
        <w:spacing w:after="0" w:line="240" w:lineRule="auto"/>
        <w:jc w:val="both"/>
        <w:rPr>
          <w:rFonts w:ascii="Verdana" w:hAnsi="Verdana" w:cs="Arial"/>
          <w:b/>
          <w:sz w:val="20"/>
          <w:szCs w:val="20"/>
        </w:rPr>
      </w:pPr>
      <w:r w:rsidRPr="00902976">
        <w:rPr>
          <w:rFonts w:ascii="Verdana" w:hAnsi="Verdana" w:cs="Arial"/>
          <w:b/>
          <w:sz w:val="20"/>
          <w:szCs w:val="20"/>
        </w:rPr>
        <w:t>Which countries stand out</w:t>
      </w:r>
      <w:r>
        <w:rPr>
          <w:rFonts w:ascii="Verdana" w:hAnsi="Verdana" w:cs="Arial"/>
          <w:b/>
          <w:sz w:val="20"/>
          <w:szCs w:val="20"/>
        </w:rPr>
        <w:t xml:space="preserve"> overall</w:t>
      </w:r>
      <w:r w:rsidRPr="00902976">
        <w:rPr>
          <w:rFonts w:ascii="Verdana" w:hAnsi="Verdana" w:cs="Arial"/>
          <w:b/>
          <w:sz w:val="20"/>
          <w:szCs w:val="20"/>
        </w:rPr>
        <w:t>?</w:t>
      </w:r>
    </w:p>
    <w:p w14:paraId="142922D7" w14:textId="77777777" w:rsidR="00E07B8E" w:rsidRDefault="00E07B8E" w:rsidP="00E07B8E">
      <w:pPr>
        <w:spacing w:after="0" w:line="240" w:lineRule="auto"/>
        <w:jc w:val="both"/>
        <w:rPr>
          <w:rFonts w:ascii="Verdana" w:hAnsi="Verdana" w:cs="Arial"/>
          <w:sz w:val="20"/>
          <w:szCs w:val="20"/>
        </w:rPr>
      </w:pPr>
      <w:r w:rsidRPr="004156D3">
        <w:rPr>
          <w:rFonts w:ascii="Verdana" w:hAnsi="Verdana" w:cs="Arial"/>
          <w:sz w:val="20"/>
          <w:szCs w:val="20"/>
        </w:rPr>
        <w:t xml:space="preserve">A comparison of overall league tables suggests that </w:t>
      </w:r>
      <w:r>
        <w:rPr>
          <w:rFonts w:ascii="Verdana" w:hAnsi="Verdana" w:cs="Arial"/>
          <w:sz w:val="20"/>
          <w:szCs w:val="20"/>
        </w:rPr>
        <w:t>Canada,</w:t>
      </w:r>
      <w:r w:rsidRPr="004156D3">
        <w:rPr>
          <w:rFonts w:ascii="Verdana" w:hAnsi="Verdana" w:cs="Arial"/>
          <w:sz w:val="20"/>
          <w:szCs w:val="20"/>
        </w:rPr>
        <w:t xml:space="preserve"> France, Iceland</w:t>
      </w:r>
      <w:r>
        <w:rPr>
          <w:rFonts w:ascii="Verdana" w:hAnsi="Verdana" w:cs="Arial"/>
          <w:sz w:val="20"/>
          <w:szCs w:val="20"/>
        </w:rPr>
        <w:t xml:space="preserve">, </w:t>
      </w:r>
      <w:r w:rsidRPr="004156D3">
        <w:rPr>
          <w:rFonts w:ascii="Verdana" w:hAnsi="Verdana" w:cs="Arial"/>
          <w:sz w:val="20"/>
          <w:szCs w:val="20"/>
        </w:rPr>
        <w:t xml:space="preserve">and Sweden have seen their comparative positions decline in recent years. </w:t>
      </w:r>
    </w:p>
    <w:p w14:paraId="092A3C85" w14:textId="77777777" w:rsidR="00E07B8E" w:rsidRDefault="00E07B8E" w:rsidP="00E07B8E">
      <w:pPr>
        <w:spacing w:after="0" w:line="240" w:lineRule="auto"/>
        <w:jc w:val="both"/>
        <w:rPr>
          <w:rFonts w:ascii="Verdana" w:hAnsi="Verdana" w:cs="Arial"/>
          <w:sz w:val="20"/>
          <w:szCs w:val="20"/>
        </w:rPr>
      </w:pPr>
    </w:p>
    <w:p w14:paraId="34607D74" w14:textId="77777777" w:rsidR="00E07B8E" w:rsidRPr="004156D3" w:rsidRDefault="00E07B8E" w:rsidP="00E07B8E">
      <w:pPr>
        <w:spacing w:after="0" w:line="240" w:lineRule="auto"/>
        <w:jc w:val="both"/>
        <w:rPr>
          <w:rFonts w:ascii="Verdana" w:hAnsi="Verdana" w:cs="Arial"/>
          <w:sz w:val="20"/>
          <w:szCs w:val="20"/>
        </w:rPr>
      </w:pPr>
      <w:r w:rsidRPr="004156D3">
        <w:rPr>
          <w:rFonts w:ascii="Verdana" w:hAnsi="Verdana" w:cs="Arial"/>
          <w:sz w:val="20"/>
          <w:szCs w:val="20"/>
        </w:rPr>
        <w:t>France</w:t>
      </w:r>
      <w:r>
        <w:rPr>
          <w:rFonts w:ascii="Verdana" w:hAnsi="Verdana" w:cs="Arial"/>
          <w:sz w:val="20"/>
          <w:szCs w:val="20"/>
        </w:rPr>
        <w:t xml:space="preserve"> and Canada</w:t>
      </w:r>
      <w:r w:rsidRPr="004156D3">
        <w:rPr>
          <w:rFonts w:ascii="Verdana" w:hAnsi="Verdana" w:cs="Arial"/>
          <w:sz w:val="20"/>
          <w:szCs w:val="20"/>
        </w:rPr>
        <w:t xml:space="preserve">, previously towards the middle of the overall table, now rank in the bottom third; whilst Iceland and Sweden, previously towards the top of the overall league table, now sit marginally above the bottom third. </w:t>
      </w:r>
    </w:p>
    <w:p w14:paraId="74B99B63" w14:textId="77777777" w:rsidR="00E07B8E" w:rsidRDefault="00E07B8E" w:rsidP="00E07B8E">
      <w:pPr>
        <w:spacing w:after="0" w:line="240" w:lineRule="auto"/>
        <w:jc w:val="both"/>
        <w:rPr>
          <w:rFonts w:ascii="Verdana" w:hAnsi="Verdana" w:cs="Arial"/>
          <w:sz w:val="20"/>
          <w:szCs w:val="20"/>
        </w:rPr>
      </w:pPr>
    </w:p>
    <w:p w14:paraId="0F8B136A" w14:textId="77777777" w:rsidR="00E07B8E" w:rsidRDefault="00E07B8E" w:rsidP="00E07B8E">
      <w:pPr>
        <w:spacing w:after="0" w:line="240" w:lineRule="auto"/>
        <w:jc w:val="both"/>
        <w:rPr>
          <w:rFonts w:ascii="Verdana" w:hAnsi="Verdana" w:cs="Arial"/>
          <w:sz w:val="20"/>
          <w:szCs w:val="20"/>
        </w:rPr>
      </w:pPr>
      <w:r w:rsidRPr="004156D3">
        <w:rPr>
          <w:rFonts w:ascii="Verdana" w:hAnsi="Verdana" w:cs="Arial"/>
          <w:sz w:val="20"/>
          <w:szCs w:val="20"/>
        </w:rPr>
        <w:t>Denmark is at the top of the overall league</w:t>
      </w:r>
      <w:r>
        <w:rPr>
          <w:rFonts w:ascii="Verdana" w:hAnsi="Verdana" w:cs="Arial"/>
          <w:sz w:val="20"/>
          <w:szCs w:val="20"/>
        </w:rPr>
        <w:t xml:space="preserve"> table. It was comparatively low bottom-end inequality in each of the four domains of child well-being. Israel and Turkey rank at the bottom of the overall league table. </w:t>
      </w:r>
    </w:p>
    <w:p w14:paraId="65747317" w14:textId="77777777" w:rsidR="00E07B8E" w:rsidRDefault="00E07B8E" w:rsidP="00E07B8E">
      <w:pPr>
        <w:spacing w:after="0" w:line="240" w:lineRule="auto"/>
        <w:jc w:val="both"/>
        <w:rPr>
          <w:rFonts w:ascii="Verdana" w:hAnsi="Verdana" w:cs="Arial"/>
          <w:sz w:val="20"/>
          <w:szCs w:val="20"/>
        </w:rPr>
      </w:pPr>
    </w:p>
    <w:p w14:paraId="3F70324A" w14:textId="77777777" w:rsidR="00E07B8E" w:rsidRDefault="00E07B8E" w:rsidP="00E07B8E">
      <w:pPr>
        <w:spacing w:after="0" w:line="240" w:lineRule="auto"/>
        <w:jc w:val="both"/>
        <w:rPr>
          <w:rFonts w:ascii="Verdana" w:hAnsi="Verdana" w:cs="Arial"/>
          <w:sz w:val="20"/>
          <w:szCs w:val="20"/>
        </w:rPr>
      </w:pPr>
      <w:r>
        <w:rPr>
          <w:rFonts w:ascii="Verdana" w:hAnsi="Verdana" w:cs="Arial"/>
          <w:sz w:val="20"/>
          <w:szCs w:val="20"/>
        </w:rPr>
        <w:t>Some of the richest countries in the world are placed in the bottom third of the overall league table including Canada (26</w:t>
      </w:r>
      <w:r w:rsidRPr="004156D3">
        <w:rPr>
          <w:rFonts w:ascii="Verdana" w:hAnsi="Verdana" w:cs="Arial"/>
          <w:sz w:val="20"/>
          <w:szCs w:val="20"/>
          <w:vertAlign w:val="superscript"/>
        </w:rPr>
        <w:t>th</w:t>
      </w:r>
      <w:r>
        <w:rPr>
          <w:rFonts w:ascii="Verdana" w:hAnsi="Verdana" w:cs="Arial"/>
          <w:sz w:val="20"/>
          <w:szCs w:val="20"/>
        </w:rPr>
        <w:t>), France (28</w:t>
      </w:r>
      <w:r w:rsidRPr="004156D3">
        <w:rPr>
          <w:rFonts w:ascii="Verdana" w:hAnsi="Verdana" w:cs="Arial"/>
          <w:sz w:val="20"/>
          <w:szCs w:val="20"/>
          <w:vertAlign w:val="superscript"/>
        </w:rPr>
        <w:t>th</w:t>
      </w:r>
      <w:r>
        <w:rPr>
          <w:rFonts w:ascii="Verdana" w:hAnsi="Verdana" w:cs="Arial"/>
          <w:sz w:val="20"/>
          <w:szCs w:val="20"/>
        </w:rPr>
        <w:t>) and Italy (32</w:t>
      </w:r>
      <w:r w:rsidRPr="004156D3">
        <w:rPr>
          <w:rFonts w:ascii="Verdana" w:hAnsi="Verdana" w:cs="Arial"/>
          <w:sz w:val="20"/>
          <w:szCs w:val="20"/>
          <w:vertAlign w:val="superscript"/>
        </w:rPr>
        <w:t>nd</w:t>
      </w:r>
      <w:r>
        <w:rPr>
          <w:rFonts w:ascii="Verdana" w:hAnsi="Verdana" w:cs="Arial"/>
          <w:sz w:val="20"/>
          <w:szCs w:val="20"/>
        </w:rPr>
        <w:t>).</w:t>
      </w:r>
    </w:p>
    <w:p w14:paraId="4E46212A" w14:textId="77777777" w:rsidR="001E389D" w:rsidRPr="00264D2A" w:rsidRDefault="001E389D" w:rsidP="001E389D">
      <w:pPr>
        <w:pStyle w:val="NormalWeb"/>
        <w:spacing w:line="240" w:lineRule="auto"/>
        <w:jc w:val="both"/>
        <w:rPr>
          <w:rStyle w:val="Strong"/>
          <w:rFonts w:ascii="Verdana" w:hAnsi="Verdana" w:cs="Arial"/>
          <w:color w:val="000000"/>
          <w:sz w:val="20"/>
          <w:szCs w:val="20"/>
        </w:rPr>
      </w:pPr>
      <w:r w:rsidRPr="00264D2A">
        <w:rPr>
          <w:rStyle w:val="Strong"/>
          <w:rFonts w:ascii="Verdana" w:hAnsi="Verdana" w:cs="Arial"/>
          <w:color w:val="000000"/>
          <w:sz w:val="20"/>
          <w:szCs w:val="20"/>
        </w:rPr>
        <w:t>Why hav</w:t>
      </w:r>
      <w:r w:rsidR="00BE43C2">
        <w:rPr>
          <w:rStyle w:val="Strong"/>
          <w:rFonts w:ascii="Verdana" w:hAnsi="Verdana" w:cs="Arial"/>
          <w:color w:val="000000"/>
          <w:sz w:val="20"/>
          <w:szCs w:val="20"/>
        </w:rPr>
        <w:t>e</w:t>
      </w:r>
      <w:r w:rsidRPr="00264D2A">
        <w:rPr>
          <w:rStyle w:val="Strong"/>
          <w:rFonts w:ascii="Verdana" w:hAnsi="Verdana" w:cs="Arial"/>
          <w:color w:val="000000"/>
          <w:sz w:val="20"/>
          <w:szCs w:val="20"/>
        </w:rPr>
        <w:t xml:space="preserve"> some countries that usually appear near the top of Report Card league tables fallen quite far down – for example Sweden – in several Report Card 13 rankings?</w:t>
      </w:r>
    </w:p>
    <w:p w14:paraId="737331C1" w14:textId="77777777" w:rsidR="001E389D" w:rsidRPr="001E389D" w:rsidRDefault="001E389D" w:rsidP="001E389D">
      <w:pPr>
        <w:spacing w:after="240" w:line="240" w:lineRule="auto"/>
        <w:jc w:val="both"/>
        <w:rPr>
          <w:rFonts w:ascii="Verdana" w:hAnsi="Verdana" w:cs="Arial"/>
          <w:sz w:val="20"/>
          <w:szCs w:val="20"/>
        </w:rPr>
      </w:pPr>
      <w:r w:rsidRPr="001E389D">
        <w:rPr>
          <w:rFonts w:ascii="Verdana" w:hAnsi="Verdana" w:cs="Arial"/>
          <w:sz w:val="20"/>
          <w:szCs w:val="20"/>
        </w:rPr>
        <w:t xml:space="preserve">Report Card 13 focuses on bottom-end inequality and its measures reveal how far behind the most disadvantaged children are allowed to fall. It helps to deconstruct and disclose what is often hidden in the average measures. Most of the previous Report Card rankings focus on the average, hence a change in the measure used will result in a change in the rankings. International comparisons of bottom-end inequality set each nation’s performance in child well-being not against an abstract concept of equality but against the practical benchmark of what other nations at similar levels of economic development have already achieved. Different geographical and historical circumstances may help to explain different degrees of inequality. In </w:t>
      </w:r>
      <w:r w:rsidR="0060183D">
        <w:rPr>
          <w:rFonts w:ascii="Verdana" w:hAnsi="Verdana" w:cs="Arial"/>
          <w:sz w:val="20"/>
          <w:szCs w:val="20"/>
        </w:rPr>
        <w:t xml:space="preserve">the </w:t>
      </w:r>
      <w:r w:rsidRPr="001E389D">
        <w:rPr>
          <w:rFonts w:ascii="Verdana" w:hAnsi="Verdana" w:cs="Arial"/>
          <w:sz w:val="20"/>
          <w:szCs w:val="20"/>
        </w:rPr>
        <w:t>case of income, an increase in inequality, as it is the case in many countries, is a combined effect of unequal growth rates along the distribution, changes in the demographic profile and social transfers.</w:t>
      </w:r>
    </w:p>
    <w:p w14:paraId="2548AFBA" w14:textId="77777777" w:rsidR="00156915" w:rsidRDefault="00156915" w:rsidP="00156915">
      <w:pPr>
        <w:jc w:val="both"/>
        <w:rPr>
          <w:rFonts w:ascii="Verdana" w:hAnsi="Verdana"/>
          <w:b/>
          <w:bCs/>
          <w:sz w:val="20"/>
          <w:szCs w:val="20"/>
        </w:rPr>
      </w:pPr>
      <w:r>
        <w:rPr>
          <w:rFonts w:ascii="Verdana" w:hAnsi="Verdana"/>
          <w:b/>
          <w:bCs/>
          <w:sz w:val="20"/>
          <w:szCs w:val="20"/>
        </w:rPr>
        <w:lastRenderedPageBreak/>
        <w:t>Some EU countries that have the widest inequality gaps have been receiving large numbers of migrants and refugees. Is the country’s poor performance due to the influx of migrants?</w:t>
      </w:r>
    </w:p>
    <w:p w14:paraId="708A3AB9" w14:textId="77777777" w:rsidR="00156915" w:rsidRDefault="00156915" w:rsidP="00156915">
      <w:pPr>
        <w:spacing w:after="240"/>
        <w:jc w:val="both"/>
        <w:rPr>
          <w:rFonts w:ascii="Verdana" w:hAnsi="Verdana"/>
          <w:sz w:val="20"/>
          <w:szCs w:val="20"/>
        </w:rPr>
      </w:pPr>
      <w:r>
        <w:rPr>
          <w:rFonts w:ascii="Verdana" w:hAnsi="Verdana"/>
          <w:sz w:val="20"/>
          <w:szCs w:val="20"/>
        </w:rPr>
        <w:t xml:space="preserve">No. The data used in the analysis do not reflect the recent influx of migrants as the latest data used relate to </w:t>
      </w:r>
      <w:r w:rsidRPr="00156915">
        <w:rPr>
          <w:rFonts w:ascii="Verdana" w:hAnsi="Verdana"/>
          <w:sz w:val="20"/>
          <w:szCs w:val="20"/>
        </w:rPr>
        <w:t>2014.  </w:t>
      </w:r>
    </w:p>
    <w:p w14:paraId="01FBC857" w14:textId="083E1381" w:rsidR="00156915" w:rsidRDefault="00156915" w:rsidP="00156915">
      <w:pPr>
        <w:spacing w:after="240"/>
        <w:jc w:val="both"/>
        <w:rPr>
          <w:rFonts w:ascii="Verdana" w:hAnsi="Verdana"/>
          <w:color w:val="FF0000"/>
          <w:sz w:val="20"/>
          <w:szCs w:val="20"/>
        </w:rPr>
      </w:pPr>
      <w:r>
        <w:rPr>
          <w:rFonts w:ascii="Verdana" w:hAnsi="Verdana"/>
          <w:sz w:val="20"/>
          <w:szCs w:val="20"/>
        </w:rPr>
        <w:t xml:space="preserve">However, we know from the report that whilst inequality in life satisfaction remains relatively stable, migrant children suffer the poorest life satisfaction. </w:t>
      </w:r>
      <w:bookmarkStart w:id="0" w:name="_GoBack"/>
      <w:bookmarkEnd w:id="0"/>
    </w:p>
    <w:p w14:paraId="33417245" w14:textId="77777777" w:rsidR="00156915" w:rsidRDefault="00156915" w:rsidP="00156915">
      <w:pPr>
        <w:spacing w:after="240"/>
        <w:jc w:val="both"/>
        <w:rPr>
          <w:rFonts w:ascii="Verdana" w:hAnsi="Verdana"/>
          <w:sz w:val="20"/>
          <w:szCs w:val="20"/>
        </w:rPr>
      </w:pPr>
      <w:r>
        <w:rPr>
          <w:rFonts w:ascii="Verdana" w:hAnsi="Verdana"/>
          <w:sz w:val="20"/>
          <w:szCs w:val="20"/>
        </w:rPr>
        <w:t>UNICEF is urging governments across the EU and OECD to tackle inequality by prioritising the needs of the most disadvantaged children.</w:t>
      </w:r>
    </w:p>
    <w:p w14:paraId="70C9918A" w14:textId="77777777" w:rsidR="00A9075B" w:rsidRPr="00A5384F" w:rsidRDefault="00A9075B" w:rsidP="00A5384F">
      <w:pPr>
        <w:jc w:val="both"/>
        <w:rPr>
          <w:rFonts w:ascii="Verdana" w:hAnsi="Verdana"/>
          <w:b/>
          <w:bCs/>
          <w:sz w:val="20"/>
        </w:rPr>
      </w:pPr>
      <w:r w:rsidRPr="00A5384F">
        <w:rPr>
          <w:rFonts w:ascii="Verdana" w:hAnsi="Verdana"/>
          <w:b/>
          <w:bCs/>
          <w:sz w:val="20"/>
        </w:rPr>
        <w:t xml:space="preserve">The report references a study in several high income countries which suggests that schools with higher proportion of immigrant children have more incidents of violence and bullying (box on immigration, p 35). How does UNICEF explain this outcome? </w:t>
      </w:r>
    </w:p>
    <w:p w14:paraId="7FE14F1E" w14:textId="77777777" w:rsidR="00A9075B" w:rsidRPr="00A9075B" w:rsidRDefault="00A9075B" w:rsidP="00A5384F">
      <w:pPr>
        <w:jc w:val="both"/>
        <w:rPr>
          <w:rFonts w:ascii="Verdana" w:hAnsi="Verdana"/>
          <w:sz w:val="20"/>
          <w:szCs w:val="24"/>
        </w:rPr>
      </w:pPr>
      <w:r>
        <w:rPr>
          <w:rFonts w:ascii="Verdana" w:hAnsi="Verdana"/>
          <w:sz w:val="20"/>
          <w:szCs w:val="24"/>
        </w:rPr>
        <w:t>T</w:t>
      </w:r>
      <w:r w:rsidRPr="00A9075B">
        <w:rPr>
          <w:rFonts w:ascii="Verdana" w:hAnsi="Verdana"/>
          <w:sz w:val="20"/>
          <w:szCs w:val="24"/>
        </w:rPr>
        <w:t xml:space="preserve">he </w:t>
      </w:r>
      <w:r>
        <w:rPr>
          <w:rFonts w:ascii="Verdana" w:hAnsi="Verdana"/>
          <w:sz w:val="20"/>
          <w:szCs w:val="24"/>
        </w:rPr>
        <w:t xml:space="preserve">box </w:t>
      </w:r>
      <w:r w:rsidRPr="00A9075B">
        <w:rPr>
          <w:rFonts w:ascii="Verdana" w:hAnsi="Verdana"/>
          <w:sz w:val="20"/>
          <w:szCs w:val="24"/>
        </w:rPr>
        <w:t xml:space="preserve">refers to the schools with a higher proportion of migrant children, not migrant children themselves. </w:t>
      </w:r>
      <w:r>
        <w:rPr>
          <w:rFonts w:ascii="Verdana" w:hAnsi="Verdana"/>
          <w:sz w:val="20"/>
          <w:szCs w:val="24"/>
        </w:rPr>
        <w:t xml:space="preserve">The text in question references </w:t>
      </w:r>
      <w:r w:rsidRPr="00A9075B">
        <w:rPr>
          <w:rFonts w:ascii="Verdana" w:hAnsi="Verdana"/>
          <w:sz w:val="20"/>
          <w:szCs w:val="24"/>
        </w:rPr>
        <w:t xml:space="preserve">higher levels of violence </w:t>
      </w:r>
      <w:r w:rsidRPr="00A9075B">
        <w:rPr>
          <w:rFonts w:ascii="Verdana" w:hAnsi="Verdana"/>
          <w:i/>
          <w:iCs/>
          <w:sz w:val="20"/>
          <w:szCs w:val="24"/>
        </w:rPr>
        <w:t>and bullying</w:t>
      </w:r>
      <w:r w:rsidRPr="00A9075B">
        <w:rPr>
          <w:rFonts w:ascii="Verdana" w:hAnsi="Verdana"/>
          <w:sz w:val="20"/>
          <w:szCs w:val="24"/>
        </w:rPr>
        <w:t xml:space="preserve"> which encompasses conditions where migrant children may be either recipients and/or initiators of maltreatment. </w:t>
      </w:r>
      <w:r>
        <w:rPr>
          <w:rFonts w:ascii="Verdana" w:hAnsi="Verdana"/>
          <w:sz w:val="20"/>
          <w:szCs w:val="24"/>
        </w:rPr>
        <w:t xml:space="preserve">In addition, it is fair to </w:t>
      </w:r>
      <w:r w:rsidRPr="00A9075B">
        <w:rPr>
          <w:rFonts w:ascii="Verdana" w:hAnsi="Verdana"/>
          <w:sz w:val="20"/>
          <w:szCs w:val="24"/>
        </w:rPr>
        <w:t xml:space="preserve">assume that migrant children </w:t>
      </w:r>
      <w:r>
        <w:rPr>
          <w:rFonts w:ascii="Verdana" w:hAnsi="Verdana"/>
          <w:sz w:val="20"/>
          <w:szCs w:val="24"/>
        </w:rPr>
        <w:t xml:space="preserve">may be </w:t>
      </w:r>
      <w:r w:rsidRPr="00A9075B">
        <w:rPr>
          <w:rFonts w:ascii="Verdana" w:hAnsi="Verdana"/>
          <w:sz w:val="20"/>
          <w:szCs w:val="24"/>
        </w:rPr>
        <w:t xml:space="preserve">predominantly attending schools in disadvantaged communities where there is a background climate of lower socio economic status, more frequency of low work intensity homes, higher stress levels, etc. </w:t>
      </w:r>
    </w:p>
    <w:p w14:paraId="01A53900" w14:textId="77777777" w:rsidR="00A9075B" w:rsidRDefault="00A9075B" w:rsidP="00156915">
      <w:pPr>
        <w:spacing w:after="240"/>
        <w:jc w:val="both"/>
        <w:rPr>
          <w:rFonts w:ascii="Verdana" w:hAnsi="Verdana"/>
          <w:sz w:val="20"/>
          <w:szCs w:val="20"/>
        </w:rPr>
      </w:pPr>
    </w:p>
    <w:p w14:paraId="3A88554B" w14:textId="77777777" w:rsidR="001E389D" w:rsidRPr="00446392" w:rsidRDefault="001E389D" w:rsidP="001E389D">
      <w:pPr>
        <w:spacing w:after="240" w:line="240" w:lineRule="auto"/>
        <w:jc w:val="both"/>
        <w:rPr>
          <w:rFonts w:ascii="Verdana" w:hAnsi="Verdana" w:cs="Arial"/>
          <w:b/>
          <w:color w:val="FF0000"/>
          <w:sz w:val="20"/>
          <w:szCs w:val="20"/>
          <w:u w:val="single"/>
        </w:rPr>
      </w:pPr>
      <w:r w:rsidRPr="00446392">
        <w:rPr>
          <w:rFonts w:ascii="Verdana" w:hAnsi="Verdana" w:cs="Arial"/>
          <w:b/>
          <w:color w:val="FF0000"/>
          <w:sz w:val="20"/>
          <w:szCs w:val="20"/>
          <w:u w:val="single"/>
        </w:rPr>
        <w:t>IV. THE RESEARCH/SOURCES</w:t>
      </w:r>
    </w:p>
    <w:p w14:paraId="1B3D031A" w14:textId="77777777" w:rsidR="00BE053F" w:rsidRPr="00264D2A" w:rsidRDefault="00626743" w:rsidP="00365D2F">
      <w:pPr>
        <w:spacing w:after="240" w:line="240" w:lineRule="auto"/>
        <w:jc w:val="both"/>
        <w:rPr>
          <w:rFonts w:ascii="Verdana" w:hAnsi="Verdana" w:cs="Arial"/>
          <w:b/>
          <w:sz w:val="20"/>
          <w:szCs w:val="20"/>
        </w:rPr>
      </w:pPr>
      <w:r w:rsidRPr="00264D2A">
        <w:rPr>
          <w:rFonts w:ascii="Verdana" w:hAnsi="Verdana" w:cs="Arial"/>
          <w:b/>
          <w:sz w:val="20"/>
          <w:szCs w:val="20"/>
        </w:rPr>
        <w:t>Who produced background research for Report Card 13?</w:t>
      </w:r>
    </w:p>
    <w:p w14:paraId="0EACCE1F" w14:textId="77777777" w:rsidR="00623C11" w:rsidRPr="001E389D" w:rsidRDefault="00623C11" w:rsidP="001E389D">
      <w:pPr>
        <w:spacing w:after="240" w:line="240" w:lineRule="auto"/>
        <w:jc w:val="both"/>
        <w:rPr>
          <w:rFonts w:ascii="Verdana" w:hAnsi="Verdana" w:cs="Arial"/>
          <w:sz w:val="20"/>
          <w:szCs w:val="20"/>
        </w:rPr>
      </w:pPr>
      <w:r w:rsidRPr="001E389D">
        <w:rPr>
          <w:rFonts w:ascii="Verdana" w:hAnsi="Verdana" w:cs="Arial"/>
          <w:sz w:val="20"/>
          <w:szCs w:val="20"/>
        </w:rPr>
        <w:t>Report Card</w:t>
      </w:r>
      <w:r w:rsidR="00626743" w:rsidRPr="001E389D">
        <w:rPr>
          <w:rFonts w:ascii="Verdana" w:hAnsi="Verdana" w:cs="Arial"/>
          <w:sz w:val="20"/>
          <w:szCs w:val="20"/>
        </w:rPr>
        <w:t xml:space="preserve"> 13 draws on </w:t>
      </w:r>
      <w:r w:rsidR="0048192E" w:rsidRPr="001E389D">
        <w:rPr>
          <w:rFonts w:ascii="Verdana" w:hAnsi="Verdana" w:cs="Arial"/>
          <w:sz w:val="20"/>
          <w:szCs w:val="20"/>
        </w:rPr>
        <w:t>research findings from</w:t>
      </w:r>
      <w:r w:rsidR="00626743" w:rsidRPr="001E389D">
        <w:rPr>
          <w:rFonts w:ascii="Verdana" w:hAnsi="Verdana" w:cs="Arial"/>
          <w:sz w:val="20"/>
          <w:szCs w:val="20"/>
        </w:rPr>
        <w:t xml:space="preserve"> 11 background papers </w:t>
      </w:r>
      <w:r w:rsidR="00A328B3" w:rsidRPr="001E389D">
        <w:rPr>
          <w:rFonts w:ascii="Verdana" w:hAnsi="Verdana" w:cs="Arial"/>
          <w:sz w:val="20"/>
          <w:szCs w:val="20"/>
        </w:rPr>
        <w:t>produced by the Social and Economic Policy team within the UNICEF Office of Research</w:t>
      </w:r>
      <w:r w:rsidR="001E389D">
        <w:rPr>
          <w:rFonts w:ascii="Verdana" w:hAnsi="Verdana" w:cs="Arial"/>
          <w:sz w:val="20"/>
          <w:szCs w:val="20"/>
        </w:rPr>
        <w:t>,</w:t>
      </w:r>
      <w:r w:rsidR="00A328B3" w:rsidRPr="001E389D">
        <w:rPr>
          <w:rFonts w:ascii="Verdana" w:hAnsi="Verdana" w:cs="Arial"/>
          <w:sz w:val="20"/>
          <w:szCs w:val="20"/>
        </w:rPr>
        <w:t xml:space="preserve"> Innocenti in collaboration with the Health Behaviour in School-Age Children (HBSC) network. </w:t>
      </w:r>
      <w:r w:rsidR="00EE6C07" w:rsidRPr="001E389D">
        <w:rPr>
          <w:rFonts w:ascii="Verdana" w:hAnsi="Verdana" w:cs="Arial"/>
          <w:sz w:val="20"/>
          <w:szCs w:val="20"/>
        </w:rPr>
        <w:t xml:space="preserve">Preliminary and final findings were presented to the Report Card Advisory Board (see page </w:t>
      </w:r>
      <w:r w:rsidR="0048192E" w:rsidRPr="001E389D">
        <w:rPr>
          <w:rFonts w:ascii="Verdana" w:hAnsi="Verdana" w:cs="Arial"/>
          <w:sz w:val="20"/>
          <w:szCs w:val="20"/>
        </w:rPr>
        <w:t>47). All 11</w:t>
      </w:r>
      <w:r w:rsidR="00EA28B8" w:rsidRPr="001E389D">
        <w:rPr>
          <w:rFonts w:ascii="Verdana" w:hAnsi="Verdana" w:cs="Arial"/>
          <w:sz w:val="20"/>
          <w:szCs w:val="20"/>
        </w:rPr>
        <w:t xml:space="preserve"> </w:t>
      </w:r>
      <w:r w:rsidR="00A328B3" w:rsidRPr="001E389D">
        <w:rPr>
          <w:rFonts w:ascii="Verdana" w:hAnsi="Verdana" w:cs="Arial"/>
          <w:sz w:val="20"/>
          <w:szCs w:val="20"/>
        </w:rPr>
        <w:t>working papers are</w:t>
      </w:r>
      <w:r w:rsidR="00EA28B8" w:rsidRPr="001E389D">
        <w:rPr>
          <w:rFonts w:ascii="Verdana" w:hAnsi="Verdana" w:cs="Arial"/>
          <w:sz w:val="20"/>
          <w:szCs w:val="20"/>
        </w:rPr>
        <w:t xml:space="preserve"> available at </w:t>
      </w:r>
      <w:hyperlink r:id="rId11" w:history="1">
        <w:r w:rsidR="00AF6F0D" w:rsidRPr="001E389D">
          <w:rPr>
            <w:rStyle w:val="Hyperlink"/>
            <w:rFonts w:ascii="Verdana" w:hAnsi="Verdana" w:cs="Arial"/>
            <w:sz w:val="20"/>
            <w:szCs w:val="20"/>
          </w:rPr>
          <w:t>www.unicef-irc.org</w:t>
        </w:r>
      </w:hyperlink>
      <w:r w:rsidR="00A328B3" w:rsidRPr="001E389D">
        <w:rPr>
          <w:rStyle w:val="Hyperlink"/>
          <w:rFonts w:ascii="Verdana" w:hAnsi="Verdana" w:cs="Arial"/>
          <w:sz w:val="20"/>
          <w:szCs w:val="20"/>
        </w:rPr>
        <w:t>.</w:t>
      </w:r>
      <w:r w:rsidR="00902976">
        <w:rPr>
          <w:rFonts w:ascii="Verdana" w:hAnsi="Verdana" w:cs="Arial"/>
          <w:sz w:val="20"/>
          <w:szCs w:val="20"/>
        </w:rPr>
        <w:t xml:space="preserve"> T</w:t>
      </w:r>
      <w:r w:rsidR="00EE6C07" w:rsidRPr="001E389D">
        <w:rPr>
          <w:rFonts w:ascii="Verdana" w:hAnsi="Verdana" w:cs="Arial"/>
          <w:sz w:val="20"/>
          <w:szCs w:val="20"/>
        </w:rPr>
        <w:t>hey have all been peer reviewed by external experts.</w:t>
      </w:r>
      <w:r w:rsidR="00EA28B8" w:rsidRPr="001E389D">
        <w:rPr>
          <w:rFonts w:ascii="Verdana" w:hAnsi="Verdana" w:cs="Arial"/>
          <w:sz w:val="20"/>
          <w:szCs w:val="20"/>
        </w:rPr>
        <w:t xml:space="preserve"> </w:t>
      </w:r>
    </w:p>
    <w:p w14:paraId="166C2E4A" w14:textId="77777777" w:rsidR="00AF7724" w:rsidRPr="00264D2A" w:rsidRDefault="00BF0844" w:rsidP="00365D2F">
      <w:pPr>
        <w:spacing w:after="240" w:line="240" w:lineRule="auto"/>
        <w:jc w:val="both"/>
        <w:rPr>
          <w:rFonts w:ascii="Verdana" w:hAnsi="Verdana" w:cs="Arial"/>
          <w:b/>
          <w:sz w:val="20"/>
          <w:szCs w:val="20"/>
        </w:rPr>
      </w:pPr>
      <w:r w:rsidRPr="00264D2A">
        <w:rPr>
          <w:rFonts w:ascii="Verdana" w:hAnsi="Verdana" w:cs="Arial"/>
          <w:b/>
          <w:sz w:val="20"/>
          <w:szCs w:val="20"/>
        </w:rPr>
        <w:t xml:space="preserve">What are the </w:t>
      </w:r>
      <w:r w:rsidR="00A406E6" w:rsidRPr="00264D2A">
        <w:rPr>
          <w:rFonts w:ascii="Verdana" w:hAnsi="Verdana" w:cs="Arial"/>
          <w:b/>
          <w:sz w:val="20"/>
          <w:szCs w:val="20"/>
        </w:rPr>
        <w:t xml:space="preserve">main </w:t>
      </w:r>
      <w:r w:rsidRPr="00264D2A">
        <w:rPr>
          <w:rFonts w:ascii="Verdana" w:hAnsi="Verdana" w:cs="Arial"/>
          <w:b/>
          <w:sz w:val="20"/>
          <w:szCs w:val="20"/>
        </w:rPr>
        <w:t xml:space="preserve">data sources used in Report Card </w:t>
      </w:r>
      <w:r w:rsidR="00BB7B11" w:rsidRPr="00264D2A">
        <w:rPr>
          <w:rFonts w:ascii="Verdana" w:hAnsi="Verdana" w:cs="Arial"/>
          <w:b/>
          <w:sz w:val="20"/>
          <w:szCs w:val="20"/>
        </w:rPr>
        <w:t>13</w:t>
      </w:r>
      <w:r w:rsidRPr="00264D2A">
        <w:rPr>
          <w:rFonts w:ascii="Verdana" w:hAnsi="Verdana" w:cs="Arial"/>
          <w:b/>
          <w:sz w:val="20"/>
          <w:szCs w:val="20"/>
        </w:rPr>
        <w:t>?</w:t>
      </w:r>
    </w:p>
    <w:p w14:paraId="4F389B1B" w14:textId="77777777" w:rsidR="00732419" w:rsidRPr="001E389D" w:rsidRDefault="00732419" w:rsidP="001E389D">
      <w:pPr>
        <w:spacing w:line="240" w:lineRule="auto"/>
        <w:jc w:val="both"/>
        <w:rPr>
          <w:rFonts w:ascii="Verdana" w:hAnsi="Verdana" w:cs="Arial"/>
          <w:color w:val="000000"/>
          <w:sz w:val="20"/>
          <w:szCs w:val="20"/>
          <w:lang w:val="en-US"/>
        </w:rPr>
      </w:pPr>
      <w:r w:rsidRPr="001E389D">
        <w:rPr>
          <w:rFonts w:ascii="Verdana" w:hAnsi="Verdana" w:cs="Arial"/>
          <w:color w:val="000000"/>
          <w:sz w:val="20"/>
          <w:szCs w:val="20"/>
          <w:lang w:val="en-US"/>
        </w:rPr>
        <w:t xml:space="preserve">The calculations of income inequality among children are based on micro-data from the European Union Statistics on Income and Living Conditions (EU-SILC) 2013 for European Union countries and Iceland, Norway and Switzerland. </w:t>
      </w:r>
      <w:r w:rsidR="00DF2F9F" w:rsidRPr="001E389D">
        <w:rPr>
          <w:rFonts w:ascii="Verdana" w:hAnsi="Verdana" w:cs="Arial"/>
          <w:color w:val="000000"/>
          <w:sz w:val="20"/>
          <w:szCs w:val="20"/>
          <w:lang w:val="en-US"/>
        </w:rPr>
        <w:t>For the</w:t>
      </w:r>
      <w:r w:rsidRPr="001E389D">
        <w:rPr>
          <w:rFonts w:ascii="Verdana" w:hAnsi="Verdana" w:cs="Arial"/>
          <w:color w:val="000000"/>
          <w:sz w:val="20"/>
          <w:szCs w:val="20"/>
          <w:lang w:val="en-US"/>
        </w:rPr>
        <w:t xml:space="preserve"> remaining 9 countries included in the analysis the </w:t>
      </w:r>
      <w:r w:rsidR="00DF2F9F" w:rsidRPr="001E389D">
        <w:rPr>
          <w:rFonts w:ascii="Verdana" w:hAnsi="Verdana" w:cs="Arial"/>
          <w:color w:val="000000"/>
          <w:sz w:val="20"/>
          <w:szCs w:val="20"/>
          <w:lang w:val="en-US"/>
        </w:rPr>
        <w:t xml:space="preserve">income </w:t>
      </w:r>
      <w:r w:rsidRPr="001E389D">
        <w:rPr>
          <w:rFonts w:ascii="Verdana" w:hAnsi="Verdana" w:cs="Arial"/>
          <w:color w:val="000000"/>
          <w:sz w:val="20"/>
          <w:szCs w:val="20"/>
          <w:lang w:val="en-US"/>
        </w:rPr>
        <w:t xml:space="preserve">data come from nationally representative household income surveys. Analysis of inequality in educational achievement </w:t>
      </w:r>
      <w:r w:rsidR="00DF2F9F" w:rsidRPr="001E389D">
        <w:rPr>
          <w:rFonts w:ascii="Verdana" w:hAnsi="Verdana" w:cs="Arial"/>
          <w:color w:val="000000"/>
          <w:sz w:val="20"/>
          <w:szCs w:val="20"/>
          <w:lang w:val="en-US"/>
        </w:rPr>
        <w:t xml:space="preserve">is </w:t>
      </w:r>
      <w:r w:rsidRPr="001E389D">
        <w:rPr>
          <w:rFonts w:ascii="Verdana" w:hAnsi="Verdana" w:cs="Arial"/>
          <w:color w:val="000000"/>
          <w:sz w:val="20"/>
          <w:szCs w:val="20"/>
          <w:lang w:val="en-US"/>
        </w:rPr>
        <w:t xml:space="preserve">based on OECD Programme of International Students’ Assessment (PISA) 2012 date set. Health and life satisfaction data </w:t>
      </w:r>
      <w:r w:rsidR="00BA2508" w:rsidRPr="001E389D">
        <w:rPr>
          <w:rFonts w:ascii="Verdana" w:hAnsi="Verdana" w:cs="Arial"/>
          <w:color w:val="000000"/>
          <w:sz w:val="20"/>
          <w:szCs w:val="20"/>
          <w:lang w:val="en-US"/>
        </w:rPr>
        <w:t>are</w:t>
      </w:r>
      <w:r w:rsidRPr="001E389D">
        <w:rPr>
          <w:rFonts w:ascii="Verdana" w:hAnsi="Verdana" w:cs="Arial"/>
          <w:color w:val="000000"/>
          <w:sz w:val="20"/>
          <w:szCs w:val="20"/>
          <w:lang w:val="en-US"/>
        </w:rPr>
        <w:t xml:space="preserve"> sourced from </w:t>
      </w:r>
      <w:r w:rsidR="00BA2508" w:rsidRPr="001E389D">
        <w:rPr>
          <w:rFonts w:ascii="Verdana" w:hAnsi="Verdana" w:cs="Arial"/>
          <w:color w:val="000000"/>
          <w:sz w:val="20"/>
          <w:szCs w:val="20"/>
          <w:lang w:val="en-US"/>
        </w:rPr>
        <w:t xml:space="preserve">the </w:t>
      </w:r>
      <w:r w:rsidRPr="001E389D">
        <w:rPr>
          <w:rFonts w:ascii="Verdana" w:hAnsi="Verdana" w:cs="Arial"/>
          <w:color w:val="000000"/>
          <w:sz w:val="20"/>
          <w:szCs w:val="20"/>
          <w:lang w:val="en-US"/>
        </w:rPr>
        <w:t xml:space="preserve">Health Behaviour in School-Aged Children (HBSC) 2013/2014 survey. </w:t>
      </w:r>
      <w:r w:rsidR="00BA2508" w:rsidRPr="001E389D">
        <w:rPr>
          <w:rFonts w:ascii="Verdana" w:hAnsi="Verdana" w:cs="Arial"/>
          <w:color w:val="000000"/>
          <w:sz w:val="20"/>
          <w:szCs w:val="20"/>
          <w:lang w:val="en-US"/>
        </w:rPr>
        <w:t>Detailed</w:t>
      </w:r>
      <w:r w:rsidRPr="001E389D">
        <w:rPr>
          <w:rFonts w:ascii="Verdana" w:hAnsi="Verdana" w:cs="Arial"/>
          <w:color w:val="000000"/>
          <w:sz w:val="20"/>
          <w:szCs w:val="20"/>
          <w:lang w:val="en-US"/>
        </w:rPr>
        <w:t xml:space="preserve"> </w:t>
      </w:r>
      <w:r w:rsidR="00BA2508" w:rsidRPr="001E389D">
        <w:rPr>
          <w:rFonts w:ascii="Verdana" w:hAnsi="Verdana" w:cs="Arial"/>
          <w:color w:val="000000"/>
          <w:sz w:val="20"/>
          <w:szCs w:val="20"/>
          <w:lang w:val="en-US"/>
        </w:rPr>
        <w:t>description of</w:t>
      </w:r>
      <w:r w:rsidRPr="001E389D">
        <w:rPr>
          <w:rFonts w:ascii="Verdana" w:hAnsi="Verdana" w:cs="Arial"/>
          <w:color w:val="000000"/>
          <w:sz w:val="20"/>
          <w:szCs w:val="20"/>
          <w:lang w:val="en-US"/>
        </w:rPr>
        <w:t xml:space="preserve"> the data sources </w:t>
      </w:r>
      <w:r w:rsidR="00BA2508" w:rsidRPr="001E389D">
        <w:rPr>
          <w:rFonts w:ascii="Verdana" w:hAnsi="Verdana" w:cs="Arial"/>
          <w:color w:val="000000"/>
          <w:sz w:val="20"/>
          <w:szCs w:val="20"/>
          <w:lang w:val="en-US"/>
        </w:rPr>
        <w:t>is</w:t>
      </w:r>
      <w:r w:rsidRPr="001E389D">
        <w:rPr>
          <w:rFonts w:ascii="Verdana" w:hAnsi="Verdana" w:cs="Arial"/>
          <w:color w:val="000000"/>
          <w:sz w:val="20"/>
          <w:szCs w:val="20"/>
          <w:lang w:val="en-US"/>
        </w:rPr>
        <w:t xml:space="preserve"> </w:t>
      </w:r>
      <w:r w:rsidR="00BA2508" w:rsidRPr="001E389D">
        <w:rPr>
          <w:rFonts w:ascii="Verdana" w:hAnsi="Verdana" w:cs="Arial"/>
          <w:color w:val="000000"/>
          <w:sz w:val="20"/>
          <w:szCs w:val="20"/>
          <w:lang w:val="en-US"/>
        </w:rPr>
        <w:t>on page</w:t>
      </w:r>
      <w:r w:rsidR="00AE3174" w:rsidRPr="001E389D">
        <w:rPr>
          <w:rFonts w:ascii="Verdana" w:hAnsi="Verdana" w:cs="Arial"/>
          <w:color w:val="000000"/>
          <w:sz w:val="20"/>
          <w:szCs w:val="20"/>
          <w:lang w:val="en-US"/>
        </w:rPr>
        <w:t xml:space="preserve"> 44 of </w:t>
      </w:r>
      <w:r w:rsidRPr="001E389D">
        <w:rPr>
          <w:rFonts w:ascii="Verdana" w:hAnsi="Verdana" w:cs="Arial"/>
          <w:color w:val="000000"/>
          <w:sz w:val="20"/>
          <w:szCs w:val="20"/>
          <w:lang w:val="en-US"/>
        </w:rPr>
        <w:t>Report Card 13.</w:t>
      </w:r>
    </w:p>
    <w:p w14:paraId="49A34CED" w14:textId="77777777" w:rsidR="006D49B0" w:rsidRPr="00264D2A" w:rsidRDefault="00B80BB5" w:rsidP="00365D2F">
      <w:pPr>
        <w:spacing w:after="240" w:line="240" w:lineRule="auto"/>
        <w:jc w:val="both"/>
        <w:rPr>
          <w:rFonts w:ascii="Verdana" w:hAnsi="Verdana" w:cs="Arial"/>
          <w:b/>
          <w:sz w:val="20"/>
          <w:szCs w:val="20"/>
        </w:rPr>
      </w:pPr>
      <w:r w:rsidRPr="00264D2A">
        <w:rPr>
          <w:rFonts w:ascii="Verdana" w:hAnsi="Verdana" w:cs="Arial"/>
          <w:b/>
          <w:sz w:val="20"/>
          <w:szCs w:val="20"/>
        </w:rPr>
        <w:t xml:space="preserve">How </w:t>
      </w:r>
      <w:r w:rsidR="00A406E6" w:rsidRPr="00264D2A">
        <w:rPr>
          <w:rFonts w:ascii="Verdana" w:hAnsi="Verdana" w:cs="Arial"/>
          <w:b/>
          <w:sz w:val="20"/>
          <w:szCs w:val="20"/>
        </w:rPr>
        <w:t xml:space="preserve">did UNICEF </w:t>
      </w:r>
      <w:r w:rsidRPr="00264D2A">
        <w:rPr>
          <w:rFonts w:ascii="Verdana" w:hAnsi="Verdana" w:cs="Arial"/>
          <w:b/>
          <w:sz w:val="20"/>
          <w:szCs w:val="20"/>
        </w:rPr>
        <w:t xml:space="preserve">decide to use the </w:t>
      </w:r>
      <w:r w:rsidR="003015EB" w:rsidRPr="00264D2A">
        <w:rPr>
          <w:rFonts w:ascii="Verdana" w:hAnsi="Verdana" w:cs="Arial"/>
          <w:b/>
          <w:sz w:val="20"/>
          <w:szCs w:val="20"/>
        </w:rPr>
        <w:t>four</w:t>
      </w:r>
      <w:r w:rsidR="00207BE7" w:rsidRPr="00264D2A">
        <w:rPr>
          <w:rFonts w:ascii="Verdana" w:hAnsi="Verdana" w:cs="Arial"/>
          <w:b/>
          <w:sz w:val="20"/>
          <w:szCs w:val="20"/>
        </w:rPr>
        <w:t xml:space="preserve"> separate</w:t>
      </w:r>
      <w:r w:rsidR="006D49B0" w:rsidRPr="00264D2A">
        <w:rPr>
          <w:rFonts w:ascii="Verdana" w:hAnsi="Verdana" w:cs="Arial"/>
          <w:b/>
          <w:sz w:val="20"/>
          <w:szCs w:val="20"/>
        </w:rPr>
        <w:t xml:space="preserve"> </w:t>
      </w:r>
      <w:r w:rsidRPr="00264D2A">
        <w:rPr>
          <w:rFonts w:ascii="Verdana" w:hAnsi="Verdana" w:cs="Arial"/>
          <w:b/>
          <w:sz w:val="20"/>
          <w:szCs w:val="20"/>
        </w:rPr>
        <w:t>League Tables</w:t>
      </w:r>
      <w:r w:rsidR="00207BE7" w:rsidRPr="00264D2A">
        <w:rPr>
          <w:rFonts w:ascii="Verdana" w:hAnsi="Verdana" w:cs="Arial"/>
          <w:b/>
          <w:sz w:val="20"/>
          <w:szCs w:val="20"/>
        </w:rPr>
        <w:t xml:space="preserve"> on</w:t>
      </w:r>
      <w:r w:rsidR="006D49B0" w:rsidRPr="00264D2A">
        <w:rPr>
          <w:rFonts w:ascii="Verdana" w:hAnsi="Verdana" w:cs="Arial"/>
          <w:b/>
          <w:sz w:val="20"/>
          <w:szCs w:val="20"/>
        </w:rPr>
        <w:t xml:space="preserve"> </w:t>
      </w:r>
      <w:r w:rsidR="003015EB" w:rsidRPr="00264D2A">
        <w:rPr>
          <w:rFonts w:ascii="Verdana" w:hAnsi="Verdana" w:cs="Arial"/>
          <w:b/>
          <w:sz w:val="20"/>
          <w:szCs w:val="20"/>
        </w:rPr>
        <w:t>income inequality, education inequality, health inequality and life satisfaction inequality</w:t>
      </w:r>
      <w:r w:rsidR="00207BE7" w:rsidRPr="00264D2A">
        <w:rPr>
          <w:rFonts w:ascii="Verdana" w:hAnsi="Verdana" w:cs="Arial"/>
          <w:b/>
          <w:sz w:val="20"/>
          <w:szCs w:val="20"/>
        </w:rPr>
        <w:t xml:space="preserve"> instead of one overall League Table</w:t>
      </w:r>
      <w:r w:rsidR="006D49B0" w:rsidRPr="00264D2A">
        <w:rPr>
          <w:rFonts w:ascii="Verdana" w:hAnsi="Verdana" w:cs="Arial"/>
          <w:b/>
          <w:sz w:val="20"/>
          <w:szCs w:val="20"/>
        </w:rPr>
        <w:t xml:space="preserve">? </w:t>
      </w:r>
    </w:p>
    <w:p w14:paraId="18CAEC14" w14:textId="77777777" w:rsidR="003F758C" w:rsidRPr="001E389D" w:rsidRDefault="00FF7895" w:rsidP="001E389D">
      <w:pPr>
        <w:spacing w:after="240" w:line="240" w:lineRule="auto"/>
        <w:jc w:val="both"/>
        <w:rPr>
          <w:rFonts w:ascii="Verdana" w:hAnsi="Verdana" w:cs="Arial"/>
          <w:sz w:val="20"/>
          <w:szCs w:val="20"/>
        </w:rPr>
      </w:pPr>
      <w:r w:rsidRPr="001E389D">
        <w:rPr>
          <w:rFonts w:ascii="Verdana" w:hAnsi="Verdana" w:cs="Arial"/>
          <w:sz w:val="20"/>
          <w:szCs w:val="20"/>
        </w:rPr>
        <w:t>The presentation of the league tables separately in each domain provides transparency and clarity for international comparisons. Moreover, separate League Tables enabled to put the bottom-end inequality</w:t>
      </w:r>
      <w:r w:rsidR="00AE3174" w:rsidRPr="001E389D">
        <w:rPr>
          <w:rFonts w:ascii="Verdana" w:hAnsi="Verdana" w:cs="Arial"/>
          <w:sz w:val="20"/>
          <w:szCs w:val="20"/>
        </w:rPr>
        <w:t xml:space="preserve"> </w:t>
      </w:r>
      <w:r w:rsidRPr="001E389D">
        <w:rPr>
          <w:rFonts w:ascii="Verdana" w:hAnsi="Verdana" w:cs="Arial"/>
          <w:sz w:val="20"/>
          <w:szCs w:val="20"/>
        </w:rPr>
        <w:t>indicators in the context of appropriate measure</w:t>
      </w:r>
      <w:r w:rsidR="00AE3174" w:rsidRPr="001E389D">
        <w:rPr>
          <w:rFonts w:ascii="Verdana" w:hAnsi="Verdana" w:cs="Arial"/>
          <w:sz w:val="20"/>
          <w:szCs w:val="20"/>
        </w:rPr>
        <w:t>s</w:t>
      </w:r>
      <w:r w:rsidRPr="001E389D">
        <w:rPr>
          <w:rFonts w:ascii="Verdana" w:hAnsi="Verdana" w:cs="Arial"/>
          <w:sz w:val="20"/>
          <w:szCs w:val="20"/>
        </w:rPr>
        <w:t xml:space="preserve"> of absolute disadvantage. But keeping </w:t>
      </w:r>
      <w:r w:rsidRPr="001E389D">
        <w:rPr>
          <w:rFonts w:ascii="Verdana" w:hAnsi="Verdana" w:cs="Arial"/>
          <w:sz w:val="20"/>
          <w:szCs w:val="20"/>
        </w:rPr>
        <w:lastRenderedPageBreak/>
        <w:t xml:space="preserve">with the tradition of the Report Card series, one overall League Table </w:t>
      </w:r>
      <w:r w:rsidR="00AE3174" w:rsidRPr="001E389D">
        <w:rPr>
          <w:rFonts w:ascii="Verdana" w:hAnsi="Verdana" w:cs="Arial"/>
          <w:sz w:val="20"/>
          <w:szCs w:val="20"/>
        </w:rPr>
        <w:t>summarising all</w:t>
      </w:r>
      <w:r w:rsidRPr="001E389D">
        <w:rPr>
          <w:rFonts w:ascii="Verdana" w:hAnsi="Verdana" w:cs="Arial"/>
          <w:sz w:val="20"/>
          <w:szCs w:val="20"/>
        </w:rPr>
        <w:t xml:space="preserve"> four domains </w:t>
      </w:r>
      <w:r w:rsidR="00AE3174" w:rsidRPr="001E389D">
        <w:rPr>
          <w:rFonts w:ascii="Verdana" w:hAnsi="Verdana" w:cs="Arial"/>
          <w:sz w:val="20"/>
          <w:szCs w:val="20"/>
        </w:rPr>
        <w:t>is</w:t>
      </w:r>
      <w:r w:rsidRPr="001E389D">
        <w:rPr>
          <w:rFonts w:ascii="Verdana" w:hAnsi="Verdana" w:cs="Arial"/>
          <w:sz w:val="20"/>
          <w:szCs w:val="20"/>
        </w:rPr>
        <w:t xml:space="preserve"> also provided</w:t>
      </w:r>
      <w:r w:rsidR="00AE3174" w:rsidRPr="001E389D">
        <w:rPr>
          <w:rFonts w:ascii="Verdana" w:hAnsi="Verdana" w:cs="Arial"/>
          <w:sz w:val="20"/>
          <w:szCs w:val="20"/>
        </w:rPr>
        <w:t xml:space="preserve"> (League Table 5)</w:t>
      </w:r>
      <w:r w:rsidRPr="001E389D">
        <w:rPr>
          <w:rFonts w:ascii="Verdana" w:hAnsi="Verdana" w:cs="Arial"/>
          <w:sz w:val="20"/>
          <w:szCs w:val="20"/>
        </w:rPr>
        <w:t xml:space="preserve">.   </w:t>
      </w:r>
    </w:p>
    <w:p w14:paraId="3BCF75C9" w14:textId="77777777" w:rsidR="002A26E7" w:rsidRPr="00446392" w:rsidRDefault="002A26E7" w:rsidP="00E746E4">
      <w:pPr>
        <w:spacing w:after="160" w:line="240" w:lineRule="auto"/>
        <w:jc w:val="both"/>
        <w:rPr>
          <w:rFonts w:ascii="Verdana" w:hAnsi="Verdana" w:cs="Arial"/>
          <w:b/>
          <w:color w:val="FF0000"/>
          <w:sz w:val="20"/>
          <w:szCs w:val="20"/>
          <w:u w:val="single"/>
        </w:rPr>
      </w:pPr>
      <w:r w:rsidRPr="00446392">
        <w:rPr>
          <w:rFonts w:ascii="Verdana" w:hAnsi="Verdana" w:cs="Arial"/>
          <w:b/>
          <w:color w:val="FF0000"/>
          <w:sz w:val="20"/>
          <w:szCs w:val="20"/>
          <w:u w:val="single"/>
        </w:rPr>
        <w:t>V: ARGUMENT</w:t>
      </w:r>
    </w:p>
    <w:p w14:paraId="20E6748A" w14:textId="77777777" w:rsidR="002A26E7" w:rsidRDefault="002A26E7" w:rsidP="002A26E7">
      <w:pPr>
        <w:spacing w:after="240" w:line="240" w:lineRule="auto"/>
        <w:jc w:val="both"/>
        <w:rPr>
          <w:rFonts w:ascii="Verdana" w:hAnsi="Verdana" w:cs="Arial"/>
          <w:b/>
          <w:sz w:val="20"/>
          <w:szCs w:val="20"/>
        </w:rPr>
      </w:pPr>
      <w:r>
        <w:rPr>
          <w:rFonts w:ascii="Verdana" w:hAnsi="Verdana" w:cs="Arial"/>
          <w:b/>
          <w:sz w:val="20"/>
          <w:szCs w:val="20"/>
        </w:rPr>
        <w:t>Why is reducing bottom-end inequality for all</w:t>
      </w:r>
      <w:r w:rsidR="00FA2FAE">
        <w:rPr>
          <w:rFonts w:ascii="Verdana" w:hAnsi="Verdana" w:cs="Arial"/>
          <w:b/>
          <w:sz w:val="20"/>
          <w:szCs w:val="20"/>
        </w:rPr>
        <w:t xml:space="preserve"> important</w:t>
      </w:r>
      <w:r>
        <w:rPr>
          <w:rFonts w:ascii="Verdana" w:hAnsi="Verdana" w:cs="Arial"/>
          <w:b/>
          <w:sz w:val="20"/>
          <w:szCs w:val="20"/>
        </w:rPr>
        <w:t>?</w:t>
      </w:r>
    </w:p>
    <w:p w14:paraId="4411A7C7" w14:textId="77777777" w:rsidR="002A26E7" w:rsidRDefault="002A26E7" w:rsidP="002A26E7">
      <w:pPr>
        <w:spacing w:after="0" w:line="240" w:lineRule="auto"/>
        <w:jc w:val="both"/>
        <w:rPr>
          <w:rFonts w:ascii="Verdana" w:hAnsi="Verdana"/>
          <w:sz w:val="20"/>
          <w:szCs w:val="20"/>
        </w:rPr>
      </w:pPr>
      <w:r>
        <w:rPr>
          <w:rFonts w:ascii="Verdana" w:hAnsi="Verdana"/>
          <w:sz w:val="20"/>
          <w:szCs w:val="20"/>
        </w:rPr>
        <w:t>Evidence suggests that reducing bottom-end inequality is an effective way of improving child well-being outcomes for all.</w:t>
      </w:r>
    </w:p>
    <w:p w14:paraId="745E485E" w14:textId="77777777" w:rsidR="002A26E7" w:rsidRDefault="002A26E7" w:rsidP="002A26E7">
      <w:pPr>
        <w:spacing w:after="0" w:line="240" w:lineRule="auto"/>
        <w:jc w:val="both"/>
        <w:rPr>
          <w:rFonts w:ascii="Verdana" w:hAnsi="Verdana"/>
          <w:sz w:val="20"/>
          <w:szCs w:val="20"/>
        </w:rPr>
      </w:pPr>
    </w:p>
    <w:p w14:paraId="600B3E80" w14:textId="77777777" w:rsidR="002A26E7" w:rsidRDefault="002A26E7" w:rsidP="002A26E7">
      <w:pPr>
        <w:spacing w:after="0" w:line="240" w:lineRule="auto"/>
        <w:jc w:val="both"/>
        <w:rPr>
          <w:rFonts w:ascii="Verdana" w:hAnsi="Verdana"/>
          <w:sz w:val="20"/>
          <w:szCs w:val="20"/>
        </w:rPr>
      </w:pPr>
      <w:r>
        <w:rPr>
          <w:rFonts w:ascii="Verdana" w:hAnsi="Verdana"/>
          <w:sz w:val="20"/>
          <w:szCs w:val="20"/>
        </w:rPr>
        <w:t xml:space="preserve">Countries with lower bottom-end inequality in child well-being have fewer children living in poverty, fewer children with very low educational achievement, fewer children reporting frequent health complaints, and fewer children reporting very low life satisfaction. </w:t>
      </w:r>
    </w:p>
    <w:p w14:paraId="2A69942F" w14:textId="77777777" w:rsidR="002A26E7" w:rsidRDefault="002A26E7" w:rsidP="002A26E7">
      <w:pPr>
        <w:spacing w:after="0" w:line="240" w:lineRule="auto"/>
        <w:jc w:val="both"/>
        <w:rPr>
          <w:rFonts w:ascii="Verdana" w:hAnsi="Verdana"/>
          <w:sz w:val="20"/>
          <w:szCs w:val="20"/>
        </w:rPr>
      </w:pPr>
    </w:p>
    <w:p w14:paraId="2F66A731" w14:textId="77777777" w:rsidR="002A26E7" w:rsidRDefault="002A26E7" w:rsidP="002A26E7">
      <w:pPr>
        <w:spacing w:after="0" w:line="240" w:lineRule="auto"/>
        <w:jc w:val="both"/>
        <w:rPr>
          <w:rFonts w:ascii="Verdana" w:hAnsi="Verdana"/>
          <w:sz w:val="20"/>
          <w:szCs w:val="20"/>
        </w:rPr>
      </w:pPr>
      <w:r>
        <w:rPr>
          <w:rFonts w:ascii="Verdana" w:hAnsi="Verdana"/>
          <w:sz w:val="20"/>
          <w:szCs w:val="20"/>
        </w:rPr>
        <w:t xml:space="preserve">In all countries, bottom-end inequality has persisted over time, and progress in reducing gaps has often been limited, meaning children in the bottom 10 per cent are not only being denied the best possible start in life, but that their opportunities to flourish in adult life are often being harmed, too. </w:t>
      </w:r>
    </w:p>
    <w:p w14:paraId="1028CDA8" w14:textId="77777777" w:rsidR="002A26E7" w:rsidRDefault="002A26E7" w:rsidP="002A26E7">
      <w:pPr>
        <w:spacing w:after="0" w:line="240" w:lineRule="auto"/>
        <w:jc w:val="both"/>
        <w:rPr>
          <w:rFonts w:ascii="Verdana" w:hAnsi="Verdana"/>
          <w:sz w:val="20"/>
          <w:szCs w:val="20"/>
        </w:rPr>
      </w:pPr>
    </w:p>
    <w:p w14:paraId="08666B1E" w14:textId="77777777" w:rsidR="001E389D" w:rsidRPr="00446392" w:rsidRDefault="001E389D" w:rsidP="001E389D">
      <w:pPr>
        <w:autoSpaceDE w:val="0"/>
        <w:autoSpaceDN w:val="0"/>
        <w:adjustRightInd w:val="0"/>
        <w:spacing w:after="240" w:line="240" w:lineRule="auto"/>
        <w:jc w:val="both"/>
        <w:rPr>
          <w:rFonts w:ascii="Verdana" w:hAnsi="Verdana" w:cs="Arial"/>
          <w:b/>
          <w:color w:val="FF0000"/>
          <w:sz w:val="20"/>
          <w:szCs w:val="20"/>
          <w:u w:val="single"/>
          <w:lang w:val="en-US"/>
        </w:rPr>
      </w:pPr>
      <w:r w:rsidRPr="00446392">
        <w:rPr>
          <w:rFonts w:ascii="Verdana" w:hAnsi="Verdana" w:cs="Arial"/>
          <w:b/>
          <w:color w:val="FF0000"/>
          <w:sz w:val="20"/>
          <w:szCs w:val="20"/>
          <w:u w:val="single"/>
          <w:lang w:val="en-US"/>
        </w:rPr>
        <w:t>V</w:t>
      </w:r>
      <w:r w:rsidR="002A26E7" w:rsidRPr="00446392">
        <w:rPr>
          <w:rFonts w:ascii="Verdana" w:hAnsi="Verdana" w:cs="Arial"/>
          <w:b/>
          <w:color w:val="FF0000"/>
          <w:sz w:val="20"/>
          <w:szCs w:val="20"/>
          <w:u w:val="single"/>
          <w:lang w:val="en-US"/>
        </w:rPr>
        <w:t>I</w:t>
      </w:r>
      <w:r w:rsidRPr="00446392">
        <w:rPr>
          <w:rFonts w:ascii="Verdana" w:hAnsi="Verdana" w:cs="Arial"/>
          <w:b/>
          <w:color w:val="FF0000"/>
          <w:sz w:val="20"/>
          <w:szCs w:val="20"/>
          <w:u w:val="single"/>
          <w:lang w:val="en-US"/>
        </w:rPr>
        <w:t>: ACTION</w:t>
      </w:r>
    </w:p>
    <w:p w14:paraId="5C282381" w14:textId="77777777" w:rsidR="001E389D" w:rsidRDefault="001E389D" w:rsidP="001E389D">
      <w:pPr>
        <w:spacing w:after="240" w:line="240" w:lineRule="auto"/>
        <w:jc w:val="both"/>
        <w:rPr>
          <w:rFonts w:ascii="Verdana" w:hAnsi="Verdana" w:cs="Arial"/>
          <w:b/>
          <w:sz w:val="20"/>
          <w:szCs w:val="20"/>
        </w:rPr>
      </w:pPr>
      <w:r w:rsidRPr="00264D2A">
        <w:rPr>
          <w:rFonts w:ascii="Verdana" w:hAnsi="Verdana" w:cs="Arial"/>
          <w:b/>
          <w:sz w:val="20"/>
          <w:szCs w:val="20"/>
        </w:rPr>
        <w:t>What policy changes would UNICEF like to see in developed countries to address child inequality?</w:t>
      </w:r>
    </w:p>
    <w:p w14:paraId="0AE70241" w14:textId="77777777" w:rsidR="00BE43C2" w:rsidRPr="00BE43C2" w:rsidRDefault="00BE43C2" w:rsidP="00BE43C2">
      <w:pPr>
        <w:spacing w:after="240" w:line="240" w:lineRule="auto"/>
        <w:jc w:val="both"/>
        <w:rPr>
          <w:rFonts w:ascii="Verdana" w:hAnsi="Verdana" w:cs="Arial"/>
          <w:sz w:val="20"/>
          <w:szCs w:val="20"/>
        </w:rPr>
      </w:pPr>
      <w:r w:rsidRPr="00BE43C2">
        <w:rPr>
          <w:rFonts w:ascii="Verdana" w:hAnsi="Verdana" w:cs="Arial"/>
          <w:sz w:val="20"/>
          <w:szCs w:val="20"/>
        </w:rPr>
        <w:t>Analysis in the report suggests the following principles and recommendations for governments to consider in strengthening child well-being:</w:t>
      </w:r>
    </w:p>
    <w:p w14:paraId="5B4E2ACA" w14:textId="77777777" w:rsidR="00BE43C2" w:rsidRDefault="00BE43C2" w:rsidP="0070705F">
      <w:pPr>
        <w:pStyle w:val="ListParagraph"/>
        <w:numPr>
          <w:ilvl w:val="0"/>
          <w:numId w:val="3"/>
        </w:numPr>
        <w:spacing w:after="240" w:line="240" w:lineRule="auto"/>
        <w:jc w:val="both"/>
        <w:rPr>
          <w:rFonts w:ascii="Verdana" w:hAnsi="Verdana" w:cs="Arial"/>
          <w:sz w:val="20"/>
          <w:szCs w:val="20"/>
        </w:rPr>
      </w:pPr>
      <w:r w:rsidRPr="00BE43C2">
        <w:rPr>
          <w:rFonts w:ascii="Verdana" w:hAnsi="Verdana" w:cs="Arial"/>
          <w:sz w:val="20"/>
          <w:szCs w:val="20"/>
        </w:rPr>
        <w:t>Protect the incomes of househ</w:t>
      </w:r>
      <w:r>
        <w:rPr>
          <w:rFonts w:ascii="Verdana" w:hAnsi="Verdana" w:cs="Arial"/>
          <w:sz w:val="20"/>
          <w:szCs w:val="20"/>
        </w:rPr>
        <w:t>olds with the poorest children.</w:t>
      </w:r>
    </w:p>
    <w:p w14:paraId="60CC638B" w14:textId="77777777" w:rsidR="00BE43C2" w:rsidRDefault="00BE43C2" w:rsidP="0070705F">
      <w:pPr>
        <w:pStyle w:val="ListParagraph"/>
        <w:numPr>
          <w:ilvl w:val="0"/>
          <w:numId w:val="3"/>
        </w:numPr>
        <w:spacing w:after="240" w:line="240" w:lineRule="auto"/>
        <w:jc w:val="both"/>
        <w:rPr>
          <w:rFonts w:ascii="Verdana" w:hAnsi="Verdana" w:cs="Arial"/>
          <w:sz w:val="20"/>
          <w:szCs w:val="20"/>
        </w:rPr>
      </w:pPr>
      <w:r w:rsidRPr="00BE43C2">
        <w:rPr>
          <w:rFonts w:ascii="Verdana" w:hAnsi="Verdana" w:cs="Arial"/>
          <w:sz w:val="20"/>
          <w:szCs w:val="20"/>
        </w:rPr>
        <w:t xml:space="preserve">Focus on improving the educational achievements of disadvantaged learners. </w:t>
      </w:r>
    </w:p>
    <w:p w14:paraId="1C13B55F" w14:textId="77777777" w:rsidR="00BE43C2" w:rsidRDefault="00BE43C2" w:rsidP="0070705F">
      <w:pPr>
        <w:pStyle w:val="ListParagraph"/>
        <w:numPr>
          <w:ilvl w:val="0"/>
          <w:numId w:val="3"/>
        </w:numPr>
        <w:spacing w:after="240" w:line="240" w:lineRule="auto"/>
        <w:jc w:val="both"/>
        <w:rPr>
          <w:rFonts w:ascii="Verdana" w:hAnsi="Verdana" w:cs="Arial"/>
          <w:sz w:val="20"/>
          <w:szCs w:val="20"/>
        </w:rPr>
      </w:pPr>
      <w:r w:rsidRPr="00BE43C2">
        <w:rPr>
          <w:rFonts w:ascii="Verdana" w:hAnsi="Verdana" w:cs="Arial"/>
          <w:sz w:val="20"/>
          <w:szCs w:val="20"/>
        </w:rPr>
        <w:t>Promote and support healthy lifestyles for all children.</w:t>
      </w:r>
    </w:p>
    <w:p w14:paraId="3B21CA3D" w14:textId="77777777" w:rsidR="00BE43C2" w:rsidRDefault="00BE43C2" w:rsidP="0070705F">
      <w:pPr>
        <w:pStyle w:val="ListParagraph"/>
        <w:numPr>
          <w:ilvl w:val="0"/>
          <w:numId w:val="3"/>
        </w:numPr>
        <w:spacing w:after="240" w:line="240" w:lineRule="auto"/>
        <w:jc w:val="both"/>
        <w:rPr>
          <w:rFonts w:ascii="Verdana" w:hAnsi="Verdana" w:cs="Arial"/>
          <w:sz w:val="20"/>
          <w:szCs w:val="20"/>
        </w:rPr>
      </w:pPr>
      <w:r w:rsidRPr="00BE43C2">
        <w:rPr>
          <w:rFonts w:ascii="Verdana" w:hAnsi="Verdana" w:cs="Arial"/>
          <w:sz w:val="20"/>
          <w:szCs w:val="20"/>
        </w:rPr>
        <w:t xml:space="preserve">Take data on subjective well-being seriously. </w:t>
      </w:r>
    </w:p>
    <w:p w14:paraId="1A586000" w14:textId="77777777" w:rsidR="00BE43C2" w:rsidRDefault="00BE43C2" w:rsidP="0070705F">
      <w:pPr>
        <w:pStyle w:val="ListParagraph"/>
        <w:numPr>
          <w:ilvl w:val="0"/>
          <w:numId w:val="3"/>
        </w:numPr>
        <w:spacing w:after="240" w:line="240" w:lineRule="auto"/>
        <w:jc w:val="both"/>
        <w:rPr>
          <w:rFonts w:ascii="Verdana" w:hAnsi="Verdana" w:cs="Arial"/>
          <w:sz w:val="20"/>
          <w:szCs w:val="20"/>
        </w:rPr>
      </w:pPr>
      <w:r w:rsidRPr="00BE43C2">
        <w:rPr>
          <w:rFonts w:ascii="Verdana" w:hAnsi="Verdana" w:cs="Arial"/>
          <w:sz w:val="20"/>
          <w:szCs w:val="20"/>
        </w:rPr>
        <w:t xml:space="preserve">Place equity at the heart of child well-being agendas. </w:t>
      </w:r>
    </w:p>
    <w:p w14:paraId="4B67B1AC" w14:textId="77777777" w:rsidR="00BE43C2" w:rsidRDefault="00BE43C2" w:rsidP="0070705F">
      <w:pPr>
        <w:pStyle w:val="ListParagraph"/>
        <w:numPr>
          <w:ilvl w:val="0"/>
          <w:numId w:val="3"/>
        </w:numPr>
        <w:spacing w:after="240" w:line="240" w:lineRule="auto"/>
        <w:jc w:val="both"/>
        <w:rPr>
          <w:rFonts w:ascii="Verdana" w:hAnsi="Verdana" w:cs="Arial"/>
          <w:sz w:val="20"/>
          <w:szCs w:val="20"/>
        </w:rPr>
      </w:pPr>
      <w:r w:rsidRPr="00BE43C2">
        <w:rPr>
          <w:rFonts w:ascii="Verdana" w:hAnsi="Verdana" w:cs="Arial"/>
          <w:sz w:val="20"/>
          <w:szCs w:val="20"/>
        </w:rPr>
        <w:t>Children’s voices should be built into data-collection processes.</w:t>
      </w:r>
    </w:p>
    <w:p w14:paraId="6417ECDF" w14:textId="77777777" w:rsidR="00BE43C2" w:rsidRDefault="00BE43C2" w:rsidP="00BE43C2">
      <w:pPr>
        <w:spacing w:after="240" w:line="240" w:lineRule="auto"/>
        <w:jc w:val="both"/>
        <w:rPr>
          <w:rFonts w:ascii="Verdana" w:hAnsi="Verdana" w:cs="Arial"/>
          <w:iCs/>
          <w:sz w:val="20"/>
          <w:szCs w:val="20"/>
          <w:lang w:val="en-US"/>
        </w:rPr>
      </w:pPr>
      <w:r>
        <w:rPr>
          <w:rFonts w:ascii="Verdana" w:hAnsi="Verdana" w:cs="Arial"/>
          <w:iCs/>
          <w:sz w:val="20"/>
          <w:szCs w:val="20"/>
          <w:lang w:val="en-US"/>
        </w:rPr>
        <w:t>Further details can be found below:</w:t>
      </w:r>
    </w:p>
    <w:p w14:paraId="04E71B9B" w14:textId="77777777" w:rsidR="001E389D" w:rsidRPr="00E746E4" w:rsidRDefault="001E389D" w:rsidP="00E746E4">
      <w:pPr>
        <w:pStyle w:val="ListParagraph"/>
        <w:numPr>
          <w:ilvl w:val="0"/>
          <w:numId w:val="5"/>
        </w:numPr>
        <w:spacing w:after="240" w:line="240" w:lineRule="auto"/>
        <w:jc w:val="both"/>
        <w:rPr>
          <w:rFonts w:ascii="Verdana" w:hAnsi="Verdana" w:cs="Arial"/>
          <w:sz w:val="20"/>
          <w:szCs w:val="20"/>
        </w:rPr>
      </w:pPr>
      <w:r w:rsidRPr="00E746E4">
        <w:rPr>
          <w:rFonts w:ascii="Verdana" w:hAnsi="Verdana" w:cs="Arial"/>
          <w:iCs/>
          <w:sz w:val="20"/>
          <w:szCs w:val="20"/>
          <w:lang w:val="en-US"/>
        </w:rPr>
        <w:t xml:space="preserve">Protect the incomes of households with </w:t>
      </w:r>
      <w:r w:rsidRPr="00E746E4">
        <w:rPr>
          <w:rFonts w:ascii="Verdana" w:hAnsi="Verdana" w:cs="Arial"/>
          <w:b/>
          <w:iCs/>
          <w:sz w:val="20"/>
          <w:szCs w:val="20"/>
          <w:lang w:val="en-US"/>
        </w:rPr>
        <w:t>the poorest children</w:t>
      </w:r>
      <w:r w:rsidRPr="00E746E4">
        <w:rPr>
          <w:rFonts w:ascii="Verdana" w:hAnsi="Verdana" w:cs="Arial"/>
          <w:iCs/>
          <w:sz w:val="20"/>
          <w:szCs w:val="20"/>
          <w:lang w:val="en-US"/>
        </w:rPr>
        <w:t xml:space="preserve">. </w:t>
      </w:r>
      <w:r w:rsidRPr="00E746E4">
        <w:rPr>
          <w:rFonts w:ascii="Verdana" w:hAnsi="Verdana" w:cs="Arial"/>
          <w:sz w:val="20"/>
          <w:szCs w:val="20"/>
          <w:lang w:val="en-US"/>
        </w:rPr>
        <w:t xml:space="preserve">Boosting employment opportunities for parents, implementing progressive taxation and effective service provision all have a role to play. However, it is evident that large income gaps tend to go hand in hand with less-extensive social transfer systems. </w:t>
      </w:r>
    </w:p>
    <w:p w14:paraId="311AAEB3" w14:textId="77777777" w:rsidR="001E389D" w:rsidRPr="00E746E4" w:rsidRDefault="001E389D" w:rsidP="00E746E4">
      <w:pPr>
        <w:pStyle w:val="ListParagraph"/>
        <w:numPr>
          <w:ilvl w:val="0"/>
          <w:numId w:val="5"/>
        </w:numPr>
        <w:autoSpaceDE w:val="0"/>
        <w:autoSpaceDN w:val="0"/>
        <w:adjustRightInd w:val="0"/>
        <w:spacing w:after="240" w:line="240" w:lineRule="auto"/>
        <w:jc w:val="both"/>
        <w:rPr>
          <w:rFonts w:ascii="Verdana" w:hAnsi="Verdana" w:cs="Arial"/>
          <w:sz w:val="20"/>
          <w:szCs w:val="20"/>
          <w:lang w:val="en-US"/>
        </w:rPr>
      </w:pPr>
      <w:r w:rsidRPr="00E746E4">
        <w:rPr>
          <w:rFonts w:ascii="Verdana" w:hAnsi="Verdana" w:cs="Arial"/>
          <w:iCs/>
          <w:sz w:val="20"/>
          <w:szCs w:val="20"/>
          <w:lang w:val="en-US"/>
        </w:rPr>
        <w:t xml:space="preserve">Focus on </w:t>
      </w:r>
      <w:r w:rsidRPr="00E746E4">
        <w:rPr>
          <w:rFonts w:ascii="Verdana" w:hAnsi="Verdana" w:cs="Arial"/>
          <w:b/>
          <w:iCs/>
          <w:sz w:val="20"/>
          <w:szCs w:val="20"/>
          <w:lang w:val="en-US"/>
        </w:rPr>
        <w:t>inclusive education</w:t>
      </w:r>
      <w:r w:rsidRPr="00E746E4">
        <w:rPr>
          <w:rFonts w:ascii="Verdana" w:hAnsi="Verdana" w:cs="Arial"/>
          <w:iCs/>
          <w:sz w:val="20"/>
          <w:szCs w:val="20"/>
          <w:lang w:val="en-US"/>
        </w:rPr>
        <w:t xml:space="preserve">, which improves the educational achievements of students who fall far behind including socially disadvantaged learners. </w:t>
      </w:r>
      <w:r w:rsidRPr="00E746E4">
        <w:rPr>
          <w:rFonts w:ascii="Verdana" w:hAnsi="Verdana" w:cs="Arial"/>
          <w:sz w:val="20"/>
          <w:szCs w:val="20"/>
          <w:lang w:val="en-US"/>
        </w:rPr>
        <w:t>The Convention on the Rights of the Child requires recognition not just of the right to education, but also “achieving this right progressively and on the basis of equal opportunity”. This means preventing children from falling far behind in their educational achievement. Evidence from the PISA surveys shows that there is no inevitable trade-off between reducing achievement gaps and overall outcomes, and so this agenda can be both fair and effective.</w:t>
      </w:r>
    </w:p>
    <w:p w14:paraId="67ACD501" w14:textId="77777777" w:rsidR="001E389D" w:rsidRPr="00E746E4" w:rsidRDefault="001E389D" w:rsidP="00E746E4">
      <w:pPr>
        <w:pStyle w:val="ListParagraph"/>
        <w:numPr>
          <w:ilvl w:val="0"/>
          <w:numId w:val="5"/>
        </w:numPr>
        <w:autoSpaceDE w:val="0"/>
        <w:autoSpaceDN w:val="0"/>
        <w:adjustRightInd w:val="0"/>
        <w:spacing w:after="240" w:line="240" w:lineRule="auto"/>
        <w:jc w:val="both"/>
        <w:rPr>
          <w:rFonts w:ascii="Verdana" w:hAnsi="Verdana" w:cs="Arial"/>
          <w:color w:val="000000"/>
          <w:sz w:val="20"/>
          <w:szCs w:val="20"/>
          <w:lang w:val="en-US"/>
        </w:rPr>
      </w:pPr>
      <w:r w:rsidRPr="00E746E4">
        <w:rPr>
          <w:rFonts w:ascii="Verdana" w:hAnsi="Verdana" w:cs="Arial"/>
          <w:iCs/>
          <w:color w:val="000000"/>
          <w:sz w:val="20"/>
          <w:szCs w:val="20"/>
          <w:lang w:val="en-US"/>
        </w:rPr>
        <w:t xml:space="preserve">Promote and </w:t>
      </w:r>
      <w:r w:rsidRPr="00E746E4">
        <w:rPr>
          <w:rFonts w:ascii="Verdana" w:hAnsi="Verdana" w:cs="Arial"/>
          <w:b/>
          <w:iCs/>
          <w:color w:val="000000"/>
          <w:sz w:val="20"/>
          <w:szCs w:val="20"/>
          <w:lang w:val="en-US"/>
        </w:rPr>
        <w:t>support healthy lifestyles</w:t>
      </w:r>
      <w:r w:rsidRPr="00E746E4">
        <w:rPr>
          <w:rFonts w:ascii="Verdana" w:hAnsi="Verdana" w:cs="Arial"/>
          <w:iCs/>
          <w:color w:val="000000"/>
          <w:sz w:val="20"/>
          <w:szCs w:val="20"/>
          <w:lang w:val="en-US"/>
        </w:rPr>
        <w:t xml:space="preserve"> for all children. </w:t>
      </w:r>
      <w:r w:rsidRPr="00E746E4">
        <w:rPr>
          <w:rFonts w:ascii="Verdana" w:hAnsi="Verdana" w:cs="Arial"/>
          <w:color w:val="000000"/>
          <w:sz w:val="20"/>
          <w:szCs w:val="20"/>
          <w:lang w:val="en-US"/>
        </w:rPr>
        <w:t>Promoting healthy lifestyles at an early age is likely to pay short- and long-term dividends, but the fact that such large relative child health gaps exist in many countries is a cause for concern. This is particularly so for inequalities in physical activity, given that these seem more tightly bound to inequalities in income. This would suggest that there is particular scope for governments to do more to open up opportunities for less-affluent children to participate in physical activity in and out of school. Evidence from the EU-SILC shows that low income is a barrier to participation in extra-curricular activities in European schools.</w:t>
      </w:r>
    </w:p>
    <w:p w14:paraId="6C74683E" w14:textId="77777777" w:rsidR="001E389D" w:rsidRPr="00E746E4" w:rsidRDefault="001E389D" w:rsidP="00E746E4">
      <w:pPr>
        <w:pStyle w:val="ListParagraph"/>
        <w:numPr>
          <w:ilvl w:val="0"/>
          <w:numId w:val="5"/>
        </w:numPr>
        <w:autoSpaceDE w:val="0"/>
        <w:autoSpaceDN w:val="0"/>
        <w:adjustRightInd w:val="0"/>
        <w:spacing w:after="240" w:line="240" w:lineRule="auto"/>
        <w:jc w:val="both"/>
        <w:rPr>
          <w:rFonts w:ascii="Verdana" w:hAnsi="Verdana" w:cs="Arial"/>
          <w:color w:val="000000"/>
          <w:sz w:val="20"/>
          <w:szCs w:val="20"/>
          <w:lang w:val="en-US"/>
        </w:rPr>
      </w:pPr>
      <w:r w:rsidRPr="00E746E4">
        <w:rPr>
          <w:rFonts w:ascii="Verdana" w:hAnsi="Verdana" w:cs="Arial"/>
          <w:b/>
          <w:iCs/>
          <w:color w:val="000000"/>
          <w:sz w:val="20"/>
          <w:szCs w:val="20"/>
          <w:lang w:val="en-US"/>
        </w:rPr>
        <w:lastRenderedPageBreak/>
        <w:t>Take subjective well-being seriously</w:t>
      </w:r>
      <w:r w:rsidRPr="00E746E4">
        <w:rPr>
          <w:rFonts w:ascii="Verdana" w:hAnsi="Verdana" w:cs="Arial"/>
          <w:iCs/>
          <w:color w:val="000000"/>
          <w:sz w:val="20"/>
          <w:szCs w:val="20"/>
          <w:lang w:val="en-US"/>
        </w:rPr>
        <w:t xml:space="preserve">. </w:t>
      </w:r>
      <w:r w:rsidRPr="00E746E4">
        <w:rPr>
          <w:rFonts w:ascii="Verdana" w:hAnsi="Verdana" w:cs="Arial"/>
          <w:color w:val="000000"/>
          <w:sz w:val="20"/>
          <w:szCs w:val="20"/>
          <w:lang w:val="en-US"/>
        </w:rPr>
        <w:t xml:space="preserve">Data gathered over a period of more than 10 years for the HBSC survey show stable patterns of inequality in children’s life satisfaction. While this stability confirms that subjective well-being data reveal meaningful information about children’s lives in rich countries, the fact that some countries have had persistently large gaps is a cause for concern. Moreover, the findings that children with low life satisfaction are more likely to be exposed to risky health behaviours and outcomes underlines the fact that subjective well-being also matters for health and education. </w:t>
      </w:r>
    </w:p>
    <w:p w14:paraId="48D00D68" w14:textId="77777777" w:rsidR="001E389D" w:rsidRPr="00E746E4" w:rsidRDefault="001E389D" w:rsidP="00E746E4">
      <w:pPr>
        <w:pStyle w:val="ListParagraph"/>
        <w:numPr>
          <w:ilvl w:val="0"/>
          <w:numId w:val="5"/>
        </w:numPr>
        <w:autoSpaceDE w:val="0"/>
        <w:autoSpaceDN w:val="0"/>
        <w:adjustRightInd w:val="0"/>
        <w:spacing w:after="240" w:line="240" w:lineRule="auto"/>
        <w:jc w:val="both"/>
        <w:rPr>
          <w:rFonts w:ascii="Verdana" w:hAnsi="Verdana" w:cs="Arial"/>
          <w:color w:val="000000"/>
          <w:sz w:val="20"/>
          <w:szCs w:val="20"/>
          <w:lang w:val="en-US"/>
        </w:rPr>
      </w:pPr>
      <w:r w:rsidRPr="00E746E4">
        <w:rPr>
          <w:rFonts w:ascii="Verdana" w:hAnsi="Verdana" w:cs="Arial"/>
          <w:b/>
          <w:iCs/>
          <w:color w:val="000000"/>
          <w:sz w:val="20"/>
          <w:szCs w:val="20"/>
          <w:lang w:val="en-US"/>
        </w:rPr>
        <w:t>Place equity at the heart of child well-being</w:t>
      </w:r>
      <w:r w:rsidRPr="00E746E4">
        <w:rPr>
          <w:rFonts w:ascii="Verdana" w:hAnsi="Verdana" w:cs="Arial"/>
          <w:iCs/>
          <w:color w:val="000000"/>
          <w:sz w:val="20"/>
          <w:szCs w:val="20"/>
          <w:lang w:val="en-US"/>
        </w:rPr>
        <w:t xml:space="preserve"> agendas.</w:t>
      </w:r>
      <w:r w:rsidR="008E3920">
        <w:rPr>
          <w:rFonts w:ascii="Verdana" w:hAnsi="Verdana" w:cs="Arial"/>
          <w:iCs/>
          <w:color w:val="000000"/>
          <w:sz w:val="20"/>
          <w:szCs w:val="20"/>
          <w:lang w:val="en-US"/>
        </w:rPr>
        <w:t xml:space="preserve"> </w:t>
      </w:r>
      <w:r w:rsidRPr="00E746E4">
        <w:rPr>
          <w:rFonts w:ascii="Verdana" w:hAnsi="Verdana" w:cs="Arial"/>
          <w:color w:val="000000"/>
          <w:sz w:val="20"/>
          <w:szCs w:val="20"/>
          <w:lang w:val="en-US"/>
        </w:rPr>
        <w:t xml:space="preserve">The leave-no-one-behind principle should form the foundation of future social strategies. The evidence presented in this </w:t>
      </w:r>
      <w:r w:rsidRPr="00E746E4">
        <w:rPr>
          <w:rFonts w:ascii="Verdana" w:hAnsi="Verdana" w:cs="Arial"/>
          <w:iCs/>
          <w:color w:val="000000"/>
          <w:sz w:val="20"/>
          <w:szCs w:val="20"/>
          <w:lang w:val="en-US"/>
        </w:rPr>
        <w:t xml:space="preserve">Report Card </w:t>
      </w:r>
      <w:r w:rsidRPr="00E746E4">
        <w:rPr>
          <w:rFonts w:ascii="Verdana" w:hAnsi="Verdana" w:cs="Arial"/>
          <w:color w:val="000000"/>
          <w:sz w:val="20"/>
          <w:szCs w:val="20"/>
          <w:lang w:val="en-US"/>
        </w:rPr>
        <w:t xml:space="preserve">suggests that to improve overall child well-being the most disadvantaged must not be ignored. </w:t>
      </w:r>
    </w:p>
    <w:p w14:paraId="709F246C" w14:textId="77777777" w:rsidR="00460A61" w:rsidRPr="00BE43C2" w:rsidRDefault="00BE43C2" w:rsidP="00365D2F">
      <w:pPr>
        <w:spacing w:after="0" w:line="240" w:lineRule="auto"/>
        <w:jc w:val="both"/>
        <w:rPr>
          <w:rFonts w:ascii="Verdana" w:hAnsi="Verdana" w:cs="Arial"/>
          <w:b/>
          <w:sz w:val="20"/>
          <w:szCs w:val="20"/>
          <w:lang w:val="en-US"/>
        </w:rPr>
      </w:pPr>
      <w:r w:rsidRPr="00BE43C2">
        <w:rPr>
          <w:rFonts w:ascii="Verdana" w:hAnsi="Verdana" w:cs="Arial"/>
          <w:b/>
          <w:sz w:val="20"/>
          <w:szCs w:val="20"/>
          <w:lang w:val="en-US"/>
        </w:rPr>
        <w:t>What is UNICEF calling for?</w:t>
      </w:r>
    </w:p>
    <w:p w14:paraId="244534AE" w14:textId="77777777" w:rsidR="00BE43C2" w:rsidRDefault="00BE43C2" w:rsidP="00365D2F">
      <w:pPr>
        <w:spacing w:after="0" w:line="240" w:lineRule="auto"/>
        <w:jc w:val="both"/>
        <w:rPr>
          <w:rFonts w:ascii="Verdana" w:hAnsi="Verdana" w:cs="Arial"/>
          <w:sz w:val="20"/>
          <w:szCs w:val="20"/>
          <w:lang w:val="en-US"/>
        </w:rPr>
      </w:pPr>
    </w:p>
    <w:p w14:paraId="0E02AAFD" w14:textId="77777777" w:rsidR="00BE43C2" w:rsidRDefault="00BE43C2" w:rsidP="00E746E4">
      <w:pPr>
        <w:spacing w:line="240" w:lineRule="auto"/>
        <w:jc w:val="both"/>
        <w:rPr>
          <w:rFonts w:ascii="Verdana" w:hAnsi="Verdana" w:cs="Arial"/>
          <w:sz w:val="20"/>
          <w:szCs w:val="20"/>
        </w:rPr>
      </w:pPr>
      <w:r>
        <w:rPr>
          <w:rFonts w:ascii="Verdana" w:hAnsi="Verdana" w:cs="Arial"/>
          <w:sz w:val="20"/>
          <w:szCs w:val="20"/>
        </w:rPr>
        <w:t xml:space="preserve">UNICEF urges governments to review their economic policies on all children, and address any </w:t>
      </w:r>
      <w:r w:rsidRPr="008E7A3E">
        <w:rPr>
          <w:rFonts w:ascii="Verdana" w:hAnsi="Verdana" w:cs="Arial"/>
          <w:sz w:val="20"/>
          <w:szCs w:val="20"/>
        </w:rPr>
        <w:t>imbalances</w:t>
      </w:r>
      <w:r>
        <w:rPr>
          <w:rFonts w:ascii="Verdana" w:hAnsi="Verdana" w:cs="Arial"/>
          <w:sz w:val="20"/>
          <w:szCs w:val="20"/>
        </w:rPr>
        <w:t xml:space="preserve"> identified; r</w:t>
      </w:r>
      <w:r w:rsidRPr="008E7A3E">
        <w:rPr>
          <w:rFonts w:ascii="Verdana" w:hAnsi="Verdana" w:cs="Arial"/>
          <w:sz w:val="20"/>
          <w:szCs w:val="20"/>
        </w:rPr>
        <w:t>evitalise political comm</w:t>
      </w:r>
      <w:r>
        <w:rPr>
          <w:rFonts w:ascii="Verdana" w:hAnsi="Verdana" w:cs="Arial"/>
          <w:sz w:val="20"/>
          <w:szCs w:val="20"/>
        </w:rPr>
        <w:t>itment to tackle child inequality; tackle the structural</w:t>
      </w:r>
      <w:r w:rsidRPr="008E7A3E">
        <w:rPr>
          <w:rFonts w:ascii="Verdana" w:hAnsi="Verdana" w:cs="Arial"/>
          <w:sz w:val="20"/>
          <w:szCs w:val="20"/>
        </w:rPr>
        <w:t xml:space="preserve"> cau</w:t>
      </w:r>
      <w:r>
        <w:rPr>
          <w:rFonts w:ascii="Verdana" w:hAnsi="Verdana" w:cs="Arial"/>
          <w:sz w:val="20"/>
          <w:szCs w:val="20"/>
        </w:rPr>
        <w:t xml:space="preserve">ses of poverty; and focus on the most disadvantaged children to reduce the damaging levels of inequality found in the majority of countries in this report. </w:t>
      </w:r>
    </w:p>
    <w:p w14:paraId="17667318" w14:textId="77777777" w:rsidR="00BE43C2" w:rsidRPr="00BE43C2" w:rsidRDefault="00BE43C2" w:rsidP="00365D2F">
      <w:pPr>
        <w:spacing w:after="0" w:line="240" w:lineRule="auto"/>
        <w:jc w:val="both"/>
        <w:rPr>
          <w:rFonts w:ascii="Verdana" w:hAnsi="Verdana" w:cs="Arial"/>
          <w:sz w:val="20"/>
          <w:szCs w:val="20"/>
        </w:rPr>
      </w:pPr>
    </w:p>
    <w:sectPr w:rsidR="00BE43C2" w:rsidRPr="00BE43C2" w:rsidSect="00E746E4">
      <w:headerReference w:type="default" r:id="rId12"/>
      <w:footerReference w:type="default" r:id="rId13"/>
      <w:pgSz w:w="11906" w:h="16838"/>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BFEEC" w14:textId="77777777" w:rsidR="00505350" w:rsidRDefault="00505350" w:rsidP="002B2731">
      <w:pPr>
        <w:spacing w:after="0" w:line="240" w:lineRule="auto"/>
      </w:pPr>
      <w:r>
        <w:separator/>
      </w:r>
    </w:p>
  </w:endnote>
  <w:endnote w:type="continuationSeparator" w:id="0">
    <w:p w14:paraId="764F6FC9" w14:textId="77777777" w:rsidR="00505350" w:rsidRDefault="00505350" w:rsidP="002B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823626"/>
      <w:docPartObj>
        <w:docPartGallery w:val="Page Numbers (Bottom of Page)"/>
        <w:docPartUnique/>
      </w:docPartObj>
    </w:sdtPr>
    <w:sdtEndPr>
      <w:rPr>
        <w:noProof/>
      </w:rPr>
    </w:sdtEndPr>
    <w:sdtContent>
      <w:p w14:paraId="20664592" w14:textId="77777777" w:rsidR="00E57FF6" w:rsidRDefault="00E57FF6">
        <w:pPr>
          <w:pStyle w:val="Footer"/>
          <w:jc w:val="right"/>
        </w:pPr>
        <w:r>
          <w:fldChar w:fldCharType="begin"/>
        </w:r>
        <w:r>
          <w:instrText xml:space="preserve"> PAGE   \* MERGEFORMAT </w:instrText>
        </w:r>
        <w:r>
          <w:fldChar w:fldCharType="separate"/>
        </w:r>
        <w:r w:rsidR="007F3704">
          <w:rPr>
            <w:noProof/>
          </w:rPr>
          <w:t>8</w:t>
        </w:r>
        <w:r>
          <w:rPr>
            <w:noProof/>
          </w:rPr>
          <w:fldChar w:fldCharType="end"/>
        </w:r>
      </w:p>
    </w:sdtContent>
  </w:sdt>
  <w:p w14:paraId="0E87B434" w14:textId="77777777" w:rsidR="00E57FF6" w:rsidRDefault="00E57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8F148" w14:textId="77777777" w:rsidR="00505350" w:rsidRDefault="00505350" w:rsidP="002B2731">
      <w:pPr>
        <w:spacing w:after="0" w:line="240" w:lineRule="auto"/>
      </w:pPr>
      <w:r>
        <w:separator/>
      </w:r>
    </w:p>
  </w:footnote>
  <w:footnote w:type="continuationSeparator" w:id="0">
    <w:p w14:paraId="62ED0815" w14:textId="77777777" w:rsidR="00505350" w:rsidRDefault="00505350" w:rsidP="002B2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51DA" w14:textId="77777777" w:rsidR="00203258" w:rsidRDefault="00203258">
    <w:pPr>
      <w:pStyle w:val="Header"/>
    </w:pPr>
    <w:r>
      <w:rPr>
        <w:noProof/>
        <w:lang w:eastAsia="en-GB"/>
      </w:rPr>
      <w:drawing>
        <wp:anchor distT="0" distB="0" distL="114300" distR="114300" simplePos="0" relativeHeight="251658240" behindDoc="1" locked="0" layoutInCell="1" allowOverlap="1" wp14:anchorId="757ACCC6" wp14:editId="030EADB0">
          <wp:simplePos x="0" y="0"/>
          <wp:positionH relativeFrom="margin">
            <wp:posOffset>4956175</wp:posOffset>
          </wp:positionH>
          <wp:positionV relativeFrom="paragraph">
            <wp:posOffset>-40640</wp:posOffset>
          </wp:positionV>
          <wp:extent cx="1222375" cy="497205"/>
          <wp:effectExtent l="0" t="0" r="0" b="0"/>
          <wp:wrapTight wrapText="bothSides">
            <wp:wrapPolygon edited="0">
              <wp:start x="0" y="0"/>
              <wp:lineTo x="0" y="20690"/>
              <wp:lineTo x="21207" y="20690"/>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oR_C-on-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497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293"/>
    <w:multiLevelType w:val="hybridMultilevel"/>
    <w:tmpl w:val="B42A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A2E59"/>
    <w:multiLevelType w:val="hybridMultilevel"/>
    <w:tmpl w:val="A30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B2178"/>
    <w:multiLevelType w:val="hybridMultilevel"/>
    <w:tmpl w:val="78A4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129D1"/>
    <w:multiLevelType w:val="hybridMultilevel"/>
    <w:tmpl w:val="4EAC7804"/>
    <w:lvl w:ilvl="0" w:tplc="0809000F">
      <w:start w:val="1"/>
      <w:numFmt w:val="decimal"/>
      <w:lvlText w:val="%1."/>
      <w:lvlJc w:val="left"/>
      <w:pPr>
        <w:ind w:left="81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E3B8C"/>
    <w:multiLevelType w:val="hybridMultilevel"/>
    <w:tmpl w:val="37BC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D67E0"/>
    <w:multiLevelType w:val="hybridMultilevel"/>
    <w:tmpl w:val="0AF8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2CB3"/>
    <w:multiLevelType w:val="hybridMultilevel"/>
    <w:tmpl w:val="F7BE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97C02"/>
    <w:multiLevelType w:val="hybridMultilevel"/>
    <w:tmpl w:val="FC6A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95368"/>
    <w:multiLevelType w:val="hybridMultilevel"/>
    <w:tmpl w:val="359E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E0171"/>
    <w:multiLevelType w:val="hybridMultilevel"/>
    <w:tmpl w:val="3980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07660"/>
    <w:multiLevelType w:val="hybridMultilevel"/>
    <w:tmpl w:val="77E8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6"/>
  </w:num>
  <w:num w:numId="6">
    <w:abstractNumId w:val="7"/>
  </w:num>
  <w:num w:numId="7">
    <w:abstractNumId w:val="5"/>
  </w:num>
  <w:num w:numId="8">
    <w:abstractNumId w:val="8"/>
  </w:num>
  <w:num w:numId="9">
    <w:abstractNumId w:val="10"/>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78"/>
    <w:rsid w:val="000069D1"/>
    <w:rsid w:val="00016106"/>
    <w:rsid w:val="00022B49"/>
    <w:rsid w:val="00030914"/>
    <w:rsid w:val="00032F58"/>
    <w:rsid w:val="00040316"/>
    <w:rsid w:val="00045980"/>
    <w:rsid w:val="00045A73"/>
    <w:rsid w:val="000463FB"/>
    <w:rsid w:val="00051F93"/>
    <w:rsid w:val="000530AE"/>
    <w:rsid w:val="00056DDC"/>
    <w:rsid w:val="000574D7"/>
    <w:rsid w:val="00061A25"/>
    <w:rsid w:val="00070939"/>
    <w:rsid w:val="0007345A"/>
    <w:rsid w:val="000833C8"/>
    <w:rsid w:val="00083DAE"/>
    <w:rsid w:val="000923BB"/>
    <w:rsid w:val="000A319F"/>
    <w:rsid w:val="000A5EA3"/>
    <w:rsid w:val="000C22A2"/>
    <w:rsid w:val="000C48FA"/>
    <w:rsid w:val="000D506B"/>
    <w:rsid w:val="000E287E"/>
    <w:rsid w:val="000E4188"/>
    <w:rsid w:val="000F10BB"/>
    <w:rsid w:val="00106131"/>
    <w:rsid w:val="00107060"/>
    <w:rsid w:val="00110625"/>
    <w:rsid w:val="001170DE"/>
    <w:rsid w:val="00117983"/>
    <w:rsid w:val="00120EAD"/>
    <w:rsid w:val="00124C16"/>
    <w:rsid w:val="00126E54"/>
    <w:rsid w:val="00127AC1"/>
    <w:rsid w:val="001312BB"/>
    <w:rsid w:val="0013210D"/>
    <w:rsid w:val="00134C07"/>
    <w:rsid w:val="00135BA6"/>
    <w:rsid w:val="00140B08"/>
    <w:rsid w:val="00146387"/>
    <w:rsid w:val="00156915"/>
    <w:rsid w:val="00166388"/>
    <w:rsid w:val="00167730"/>
    <w:rsid w:val="00167BC6"/>
    <w:rsid w:val="0017091F"/>
    <w:rsid w:val="00171A99"/>
    <w:rsid w:val="00173A62"/>
    <w:rsid w:val="001834B7"/>
    <w:rsid w:val="001A6F83"/>
    <w:rsid w:val="001A78A9"/>
    <w:rsid w:val="001B1651"/>
    <w:rsid w:val="001B17C2"/>
    <w:rsid w:val="001B1D79"/>
    <w:rsid w:val="001B4D07"/>
    <w:rsid w:val="001C1DE2"/>
    <w:rsid w:val="001C5016"/>
    <w:rsid w:val="001C6AF0"/>
    <w:rsid w:val="001D0B81"/>
    <w:rsid w:val="001E389D"/>
    <w:rsid w:val="001F118C"/>
    <w:rsid w:val="001F2F04"/>
    <w:rsid w:val="001F7833"/>
    <w:rsid w:val="00203258"/>
    <w:rsid w:val="002037DF"/>
    <w:rsid w:val="00207BE7"/>
    <w:rsid w:val="00207EF3"/>
    <w:rsid w:val="002154F9"/>
    <w:rsid w:val="00216F2A"/>
    <w:rsid w:val="002402E1"/>
    <w:rsid w:val="00242AEA"/>
    <w:rsid w:val="0024434F"/>
    <w:rsid w:val="0024592B"/>
    <w:rsid w:val="00257BC6"/>
    <w:rsid w:val="00264D2A"/>
    <w:rsid w:val="0028389B"/>
    <w:rsid w:val="00290C7E"/>
    <w:rsid w:val="00293190"/>
    <w:rsid w:val="00295CD4"/>
    <w:rsid w:val="002A21F2"/>
    <w:rsid w:val="002A26E7"/>
    <w:rsid w:val="002A3F8D"/>
    <w:rsid w:val="002A6C0B"/>
    <w:rsid w:val="002B2731"/>
    <w:rsid w:val="002B324F"/>
    <w:rsid w:val="002B53C4"/>
    <w:rsid w:val="002B6017"/>
    <w:rsid w:val="002C7385"/>
    <w:rsid w:val="002D0A19"/>
    <w:rsid w:val="002D13D3"/>
    <w:rsid w:val="002D7D1C"/>
    <w:rsid w:val="002E0975"/>
    <w:rsid w:val="002E22BC"/>
    <w:rsid w:val="002F35AB"/>
    <w:rsid w:val="002F559E"/>
    <w:rsid w:val="003013AE"/>
    <w:rsid w:val="003015EB"/>
    <w:rsid w:val="00304D0F"/>
    <w:rsid w:val="00310080"/>
    <w:rsid w:val="00322121"/>
    <w:rsid w:val="00326CCA"/>
    <w:rsid w:val="00334AF1"/>
    <w:rsid w:val="003455D1"/>
    <w:rsid w:val="00345A48"/>
    <w:rsid w:val="00347E56"/>
    <w:rsid w:val="00355C3F"/>
    <w:rsid w:val="0036333C"/>
    <w:rsid w:val="00363396"/>
    <w:rsid w:val="00365D2F"/>
    <w:rsid w:val="00371664"/>
    <w:rsid w:val="00377378"/>
    <w:rsid w:val="00383C08"/>
    <w:rsid w:val="003900FE"/>
    <w:rsid w:val="003912E1"/>
    <w:rsid w:val="0039477B"/>
    <w:rsid w:val="003B46BA"/>
    <w:rsid w:val="003B6857"/>
    <w:rsid w:val="003C358B"/>
    <w:rsid w:val="003C3D9E"/>
    <w:rsid w:val="003C478C"/>
    <w:rsid w:val="003D654E"/>
    <w:rsid w:val="003E28BC"/>
    <w:rsid w:val="003E715B"/>
    <w:rsid w:val="003F6E79"/>
    <w:rsid w:val="003F758C"/>
    <w:rsid w:val="00405DF8"/>
    <w:rsid w:val="0041472F"/>
    <w:rsid w:val="00416522"/>
    <w:rsid w:val="00425189"/>
    <w:rsid w:val="004424C1"/>
    <w:rsid w:val="004457FB"/>
    <w:rsid w:val="00446392"/>
    <w:rsid w:val="00446E35"/>
    <w:rsid w:val="00453DFB"/>
    <w:rsid w:val="00460A61"/>
    <w:rsid w:val="0046224D"/>
    <w:rsid w:val="00467EA7"/>
    <w:rsid w:val="00470259"/>
    <w:rsid w:val="00477578"/>
    <w:rsid w:val="0048192E"/>
    <w:rsid w:val="0048423F"/>
    <w:rsid w:val="004904E8"/>
    <w:rsid w:val="004925AB"/>
    <w:rsid w:val="00493888"/>
    <w:rsid w:val="00495000"/>
    <w:rsid w:val="004A0D2D"/>
    <w:rsid w:val="004B33CD"/>
    <w:rsid w:val="004E4336"/>
    <w:rsid w:val="004E7AFF"/>
    <w:rsid w:val="004F403F"/>
    <w:rsid w:val="004F5BFD"/>
    <w:rsid w:val="00505350"/>
    <w:rsid w:val="005102EF"/>
    <w:rsid w:val="005154FD"/>
    <w:rsid w:val="00522BD0"/>
    <w:rsid w:val="00531D7A"/>
    <w:rsid w:val="00541542"/>
    <w:rsid w:val="0055220A"/>
    <w:rsid w:val="005525A2"/>
    <w:rsid w:val="00553904"/>
    <w:rsid w:val="00565A18"/>
    <w:rsid w:val="005746F1"/>
    <w:rsid w:val="00580B79"/>
    <w:rsid w:val="00585575"/>
    <w:rsid w:val="00586B1E"/>
    <w:rsid w:val="005B0E23"/>
    <w:rsid w:val="005B1C37"/>
    <w:rsid w:val="005B23E3"/>
    <w:rsid w:val="005B49BF"/>
    <w:rsid w:val="005B7B18"/>
    <w:rsid w:val="005C5BB6"/>
    <w:rsid w:val="005C6A6A"/>
    <w:rsid w:val="005C6CFB"/>
    <w:rsid w:val="005C72D0"/>
    <w:rsid w:val="005D00C7"/>
    <w:rsid w:val="005D313C"/>
    <w:rsid w:val="005D5A30"/>
    <w:rsid w:val="005D640C"/>
    <w:rsid w:val="005D70C6"/>
    <w:rsid w:val="005F66BC"/>
    <w:rsid w:val="00600706"/>
    <w:rsid w:val="0060183D"/>
    <w:rsid w:val="00607C75"/>
    <w:rsid w:val="0061338E"/>
    <w:rsid w:val="00615387"/>
    <w:rsid w:val="0061594A"/>
    <w:rsid w:val="00623C11"/>
    <w:rsid w:val="00624E58"/>
    <w:rsid w:val="00626743"/>
    <w:rsid w:val="00627DBE"/>
    <w:rsid w:val="006369C0"/>
    <w:rsid w:val="00642F08"/>
    <w:rsid w:val="0065697F"/>
    <w:rsid w:val="00657898"/>
    <w:rsid w:val="00661085"/>
    <w:rsid w:val="00675B49"/>
    <w:rsid w:val="00676976"/>
    <w:rsid w:val="0068629B"/>
    <w:rsid w:val="00692EA6"/>
    <w:rsid w:val="006A29C6"/>
    <w:rsid w:val="006A5B32"/>
    <w:rsid w:val="006A63E2"/>
    <w:rsid w:val="006C6289"/>
    <w:rsid w:val="006D49B0"/>
    <w:rsid w:val="006D5C10"/>
    <w:rsid w:val="006E01BE"/>
    <w:rsid w:val="006E10DA"/>
    <w:rsid w:val="006E17C6"/>
    <w:rsid w:val="006F1481"/>
    <w:rsid w:val="006F15FB"/>
    <w:rsid w:val="006F23FA"/>
    <w:rsid w:val="00705AEB"/>
    <w:rsid w:val="0070705F"/>
    <w:rsid w:val="007079AD"/>
    <w:rsid w:val="00712E28"/>
    <w:rsid w:val="007177FF"/>
    <w:rsid w:val="00726AA4"/>
    <w:rsid w:val="007275A5"/>
    <w:rsid w:val="00732419"/>
    <w:rsid w:val="007326CC"/>
    <w:rsid w:val="00737B33"/>
    <w:rsid w:val="00742C40"/>
    <w:rsid w:val="00743595"/>
    <w:rsid w:val="00750E40"/>
    <w:rsid w:val="00761845"/>
    <w:rsid w:val="007659CC"/>
    <w:rsid w:val="007726DC"/>
    <w:rsid w:val="00782B3C"/>
    <w:rsid w:val="007869E1"/>
    <w:rsid w:val="007901FD"/>
    <w:rsid w:val="00791BD0"/>
    <w:rsid w:val="007A2D2A"/>
    <w:rsid w:val="007A2DB8"/>
    <w:rsid w:val="007B2A6A"/>
    <w:rsid w:val="007D2316"/>
    <w:rsid w:val="007D60B3"/>
    <w:rsid w:val="007D7776"/>
    <w:rsid w:val="007E5974"/>
    <w:rsid w:val="007E734E"/>
    <w:rsid w:val="007F14B0"/>
    <w:rsid w:val="007F3704"/>
    <w:rsid w:val="007F389B"/>
    <w:rsid w:val="007F4D28"/>
    <w:rsid w:val="007F5A69"/>
    <w:rsid w:val="007F7C5D"/>
    <w:rsid w:val="00805731"/>
    <w:rsid w:val="00810109"/>
    <w:rsid w:val="00826F5E"/>
    <w:rsid w:val="00840E14"/>
    <w:rsid w:val="008476FF"/>
    <w:rsid w:val="00847D94"/>
    <w:rsid w:val="00857D07"/>
    <w:rsid w:val="00862051"/>
    <w:rsid w:val="008674BB"/>
    <w:rsid w:val="00874DE9"/>
    <w:rsid w:val="0088043C"/>
    <w:rsid w:val="00880B07"/>
    <w:rsid w:val="00882FC7"/>
    <w:rsid w:val="008846F4"/>
    <w:rsid w:val="00885E2B"/>
    <w:rsid w:val="008917C5"/>
    <w:rsid w:val="0089604F"/>
    <w:rsid w:val="00896ED1"/>
    <w:rsid w:val="008A20C7"/>
    <w:rsid w:val="008A6A0D"/>
    <w:rsid w:val="008B7620"/>
    <w:rsid w:val="008C0570"/>
    <w:rsid w:val="008C6A16"/>
    <w:rsid w:val="008C78AC"/>
    <w:rsid w:val="008D53B8"/>
    <w:rsid w:val="008E010B"/>
    <w:rsid w:val="008E3920"/>
    <w:rsid w:val="008E5793"/>
    <w:rsid w:val="008F56A8"/>
    <w:rsid w:val="008F58FC"/>
    <w:rsid w:val="00902976"/>
    <w:rsid w:val="009149E3"/>
    <w:rsid w:val="00914EEF"/>
    <w:rsid w:val="00920730"/>
    <w:rsid w:val="009242EF"/>
    <w:rsid w:val="0092644B"/>
    <w:rsid w:val="00930D28"/>
    <w:rsid w:val="00930F71"/>
    <w:rsid w:val="00933695"/>
    <w:rsid w:val="009363D1"/>
    <w:rsid w:val="009378B2"/>
    <w:rsid w:val="0094014D"/>
    <w:rsid w:val="00940625"/>
    <w:rsid w:val="0095350A"/>
    <w:rsid w:val="0095489C"/>
    <w:rsid w:val="00954BF4"/>
    <w:rsid w:val="00955BC4"/>
    <w:rsid w:val="0097734A"/>
    <w:rsid w:val="00977E84"/>
    <w:rsid w:val="00990C0C"/>
    <w:rsid w:val="00990E92"/>
    <w:rsid w:val="009A55B2"/>
    <w:rsid w:val="009B6EE1"/>
    <w:rsid w:val="009E1585"/>
    <w:rsid w:val="009E1E2C"/>
    <w:rsid w:val="009E3A28"/>
    <w:rsid w:val="009E4928"/>
    <w:rsid w:val="009E581A"/>
    <w:rsid w:val="009F309F"/>
    <w:rsid w:val="009F3946"/>
    <w:rsid w:val="00A00B40"/>
    <w:rsid w:val="00A055B9"/>
    <w:rsid w:val="00A13EA8"/>
    <w:rsid w:val="00A17022"/>
    <w:rsid w:val="00A20D97"/>
    <w:rsid w:val="00A22EAA"/>
    <w:rsid w:val="00A2782F"/>
    <w:rsid w:val="00A301B6"/>
    <w:rsid w:val="00A328B3"/>
    <w:rsid w:val="00A345D0"/>
    <w:rsid w:val="00A3575C"/>
    <w:rsid w:val="00A405A3"/>
    <w:rsid w:val="00A406E6"/>
    <w:rsid w:val="00A42B0F"/>
    <w:rsid w:val="00A45B6A"/>
    <w:rsid w:val="00A45E23"/>
    <w:rsid w:val="00A5384F"/>
    <w:rsid w:val="00A638FB"/>
    <w:rsid w:val="00A65D42"/>
    <w:rsid w:val="00A726C7"/>
    <w:rsid w:val="00A831C6"/>
    <w:rsid w:val="00A9075B"/>
    <w:rsid w:val="00A954E0"/>
    <w:rsid w:val="00A96BC5"/>
    <w:rsid w:val="00A974B4"/>
    <w:rsid w:val="00AB7B91"/>
    <w:rsid w:val="00AC321B"/>
    <w:rsid w:val="00AC4F35"/>
    <w:rsid w:val="00AD0BCD"/>
    <w:rsid w:val="00AD1A80"/>
    <w:rsid w:val="00AD62FE"/>
    <w:rsid w:val="00AE3174"/>
    <w:rsid w:val="00AE5AEF"/>
    <w:rsid w:val="00AF6F0D"/>
    <w:rsid w:val="00AF7724"/>
    <w:rsid w:val="00B13465"/>
    <w:rsid w:val="00B15AF5"/>
    <w:rsid w:val="00B27551"/>
    <w:rsid w:val="00B33EB5"/>
    <w:rsid w:val="00B5130B"/>
    <w:rsid w:val="00B57A27"/>
    <w:rsid w:val="00B60622"/>
    <w:rsid w:val="00B6371C"/>
    <w:rsid w:val="00B63889"/>
    <w:rsid w:val="00B668A0"/>
    <w:rsid w:val="00B6753D"/>
    <w:rsid w:val="00B80BB5"/>
    <w:rsid w:val="00B81278"/>
    <w:rsid w:val="00B8376E"/>
    <w:rsid w:val="00B9238E"/>
    <w:rsid w:val="00B93EFE"/>
    <w:rsid w:val="00B94700"/>
    <w:rsid w:val="00B964E0"/>
    <w:rsid w:val="00BA0BEE"/>
    <w:rsid w:val="00BA2508"/>
    <w:rsid w:val="00BB63A0"/>
    <w:rsid w:val="00BB7353"/>
    <w:rsid w:val="00BB7B11"/>
    <w:rsid w:val="00BC3760"/>
    <w:rsid w:val="00BC580B"/>
    <w:rsid w:val="00BD09DC"/>
    <w:rsid w:val="00BD18F6"/>
    <w:rsid w:val="00BD2239"/>
    <w:rsid w:val="00BE053F"/>
    <w:rsid w:val="00BE43C2"/>
    <w:rsid w:val="00BF03B8"/>
    <w:rsid w:val="00BF0844"/>
    <w:rsid w:val="00BF6A97"/>
    <w:rsid w:val="00C05995"/>
    <w:rsid w:val="00C1243E"/>
    <w:rsid w:val="00C1639B"/>
    <w:rsid w:val="00C27E59"/>
    <w:rsid w:val="00C4697E"/>
    <w:rsid w:val="00C46DB7"/>
    <w:rsid w:val="00C50083"/>
    <w:rsid w:val="00C541F0"/>
    <w:rsid w:val="00C5500A"/>
    <w:rsid w:val="00C56D22"/>
    <w:rsid w:val="00C90527"/>
    <w:rsid w:val="00C945AE"/>
    <w:rsid w:val="00C976AB"/>
    <w:rsid w:val="00CA161E"/>
    <w:rsid w:val="00CA4EC9"/>
    <w:rsid w:val="00CB0E46"/>
    <w:rsid w:val="00CB2109"/>
    <w:rsid w:val="00CB6D21"/>
    <w:rsid w:val="00CC69C0"/>
    <w:rsid w:val="00CD5046"/>
    <w:rsid w:val="00CE1847"/>
    <w:rsid w:val="00CF65C6"/>
    <w:rsid w:val="00D0614D"/>
    <w:rsid w:val="00D11042"/>
    <w:rsid w:val="00D13927"/>
    <w:rsid w:val="00D26C78"/>
    <w:rsid w:val="00D4267F"/>
    <w:rsid w:val="00D463FF"/>
    <w:rsid w:val="00D64292"/>
    <w:rsid w:val="00D65BA0"/>
    <w:rsid w:val="00D736D0"/>
    <w:rsid w:val="00D75B65"/>
    <w:rsid w:val="00D86530"/>
    <w:rsid w:val="00D87751"/>
    <w:rsid w:val="00DA73BF"/>
    <w:rsid w:val="00DB5C1A"/>
    <w:rsid w:val="00DB6642"/>
    <w:rsid w:val="00DB6E8B"/>
    <w:rsid w:val="00DD2E26"/>
    <w:rsid w:val="00DE2C19"/>
    <w:rsid w:val="00DE4558"/>
    <w:rsid w:val="00DE4C73"/>
    <w:rsid w:val="00DF289B"/>
    <w:rsid w:val="00DF2F9F"/>
    <w:rsid w:val="00DF6351"/>
    <w:rsid w:val="00DF777C"/>
    <w:rsid w:val="00DF7A83"/>
    <w:rsid w:val="00E01D54"/>
    <w:rsid w:val="00E07B8E"/>
    <w:rsid w:val="00E148D8"/>
    <w:rsid w:val="00E17A2F"/>
    <w:rsid w:val="00E2001A"/>
    <w:rsid w:val="00E300B4"/>
    <w:rsid w:val="00E36A88"/>
    <w:rsid w:val="00E47A2C"/>
    <w:rsid w:val="00E52BEB"/>
    <w:rsid w:val="00E57FF6"/>
    <w:rsid w:val="00E627DA"/>
    <w:rsid w:val="00E6518F"/>
    <w:rsid w:val="00E739D1"/>
    <w:rsid w:val="00E74575"/>
    <w:rsid w:val="00E746E4"/>
    <w:rsid w:val="00E837D3"/>
    <w:rsid w:val="00E87721"/>
    <w:rsid w:val="00E87EE0"/>
    <w:rsid w:val="00E94D1B"/>
    <w:rsid w:val="00EA0801"/>
    <w:rsid w:val="00EA28B8"/>
    <w:rsid w:val="00EA51D8"/>
    <w:rsid w:val="00EC05C3"/>
    <w:rsid w:val="00EC79EF"/>
    <w:rsid w:val="00EC7CD6"/>
    <w:rsid w:val="00EE0E14"/>
    <w:rsid w:val="00EE3009"/>
    <w:rsid w:val="00EE6C07"/>
    <w:rsid w:val="00EF1B75"/>
    <w:rsid w:val="00EF2559"/>
    <w:rsid w:val="00F00231"/>
    <w:rsid w:val="00F00988"/>
    <w:rsid w:val="00F00E90"/>
    <w:rsid w:val="00F016B6"/>
    <w:rsid w:val="00F02261"/>
    <w:rsid w:val="00F07001"/>
    <w:rsid w:val="00F13D09"/>
    <w:rsid w:val="00F1604F"/>
    <w:rsid w:val="00F168A0"/>
    <w:rsid w:val="00F25060"/>
    <w:rsid w:val="00F343D8"/>
    <w:rsid w:val="00F41C7A"/>
    <w:rsid w:val="00F437AB"/>
    <w:rsid w:val="00F50D6B"/>
    <w:rsid w:val="00F62CA2"/>
    <w:rsid w:val="00F64AB3"/>
    <w:rsid w:val="00F71727"/>
    <w:rsid w:val="00F73CE2"/>
    <w:rsid w:val="00F77FA8"/>
    <w:rsid w:val="00F83010"/>
    <w:rsid w:val="00F84537"/>
    <w:rsid w:val="00F875CB"/>
    <w:rsid w:val="00FA099B"/>
    <w:rsid w:val="00FA2FAE"/>
    <w:rsid w:val="00FA4D59"/>
    <w:rsid w:val="00FB2936"/>
    <w:rsid w:val="00FB2F66"/>
    <w:rsid w:val="00FB4307"/>
    <w:rsid w:val="00FC1EA2"/>
    <w:rsid w:val="00FD650D"/>
    <w:rsid w:val="00FD7B4C"/>
    <w:rsid w:val="00FF6DCD"/>
    <w:rsid w:val="00FF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4ABC5"/>
  <w15:docId w15:val="{518EB68E-53E0-465A-81B2-A750B2E0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F084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33"/>
    <w:rPr>
      <w:rFonts w:ascii="Tahoma" w:hAnsi="Tahoma" w:cs="Tahoma"/>
      <w:sz w:val="16"/>
      <w:szCs w:val="16"/>
    </w:rPr>
  </w:style>
  <w:style w:type="paragraph" w:styleId="Quote">
    <w:name w:val="Quote"/>
    <w:basedOn w:val="Normal"/>
    <w:next w:val="Normal"/>
    <w:link w:val="QuoteChar"/>
    <w:uiPriority w:val="29"/>
    <w:qFormat/>
    <w:rsid w:val="000C22A2"/>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22A2"/>
    <w:rPr>
      <w:rFonts w:eastAsiaTheme="minorEastAsia"/>
      <w:i/>
      <w:iCs/>
      <w:color w:val="000000" w:themeColor="text1"/>
      <w:lang w:val="en-US" w:eastAsia="ja-JP"/>
    </w:rPr>
  </w:style>
  <w:style w:type="character" w:styleId="Hyperlink">
    <w:name w:val="Hyperlink"/>
    <w:basedOn w:val="DefaultParagraphFont"/>
    <w:uiPriority w:val="24"/>
    <w:unhideWhenUsed/>
    <w:rsid w:val="00D0614D"/>
    <w:rPr>
      <w:color w:val="0000FF" w:themeColor="hyperlink"/>
      <w:u w:val="single"/>
    </w:rPr>
  </w:style>
  <w:style w:type="character" w:styleId="CommentReference">
    <w:name w:val="annotation reference"/>
    <w:basedOn w:val="DefaultParagraphFont"/>
    <w:uiPriority w:val="99"/>
    <w:unhideWhenUsed/>
    <w:rsid w:val="00D0614D"/>
    <w:rPr>
      <w:sz w:val="16"/>
      <w:szCs w:val="16"/>
    </w:rPr>
  </w:style>
  <w:style w:type="paragraph" w:styleId="CommentText">
    <w:name w:val="annotation text"/>
    <w:basedOn w:val="Normal"/>
    <w:link w:val="CommentTextChar"/>
    <w:uiPriority w:val="99"/>
    <w:unhideWhenUsed/>
    <w:rsid w:val="00D0614D"/>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D06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0614D"/>
    <w:pPr>
      <w:spacing w:after="200"/>
    </w:pPr>
    <w:rPr>
      <w:rFonts w:eastAsiaTheme="minorHAnsi"/>
      <w:b/>
      <w:bCs/>
      <w:lang w:val="en-GB"/>
    </w:rPr>
  </w:style>
  <w:style w:type="character" w:customStyle="1" w:styleId="CommentSubjectChar">
    <w:name w:val="Comment Subject Char"/>
    <w:basedOn w:val="CommentTextChar"/>
    <w:link w:val="CommentSubject"/>
    <w:uiPriority w:val="99"/>
    <w:semiHidden/>
    <w:rsid w:val="00D0614D"/>
    <w:rPr>
      <w:rFonts w:eastAsiaTheme="minorEastAsia"/>
      <w:b/>
      <w:bCs/>
      <w:sz w:val="20"/>
      <w:szCs w:val="20"/>
      <w:lang w:val="en-US"/>
    </w:rPr>
  </w:style>
  <w:style w:type="paragraph" w:styleId="ListParagraph">
    <w:name w:val="List Paragraph"/>
    <w:basedOn w:val="Normal"/>
    <w:uiPriority w:val="34"/>
    <w:qFormat/>
    <w:rsid w:val="00D0614D"/>
    <w:pPr>
      <w:ind w:left="720"/>
      <w:contextualSpacing/>
    </w:pPr>
  </w:style>
  <w:style w:type="paragraph" w:styleId="NormalWeb">
    <w:name w:val="Normal (Web)"/>
    <w:basedOn w:val="Normal"/>
    <w:uiPriority w:val="99"/>
    <w:rsid w:val="0046224D"/>
    <w:pPr>
      <w:spacing w:before="100" w:beforeAutospacing="1" w:after="100" w:afterAutospacing="1" w:line="336" w:lineRule="atLeast"/>
      <w:textAlignment w:val="top"/>
    </w:pPr>
    <w:rPr>
      <w:rFonts w:ascii="Times New Roman" w:eastAsia="Calibri" w:hAnsi="Times New Roman" w:cs="Times New Roman"/>
      <w:sz w:val="17"/>
      <w:szCs w:val="17"/>
      <w:lang w:val="en-US"/>
    </w:rPr>
  </w:style>
  <w:style w:type="character" w:customStyle="1" w:styleId="Heading4Char">
    <w:name w:val="Heading 4 Char"/>
    <w:basedOn w:val="DefaultParagraphFont"/>
    <w:link w:val="Heading4"/>
    <w:uiPriority w:val="9"/>
    <w:semiHidden/>
    <w:rsid w:val="00BF0844"/>
    <w:rPr>
      <w:rFonts w:asciiTheme="majorHAnsi" w:eastAsiaTheme="majorEastAsia" w:hAnsiTheme="majorHAnsi" w:cstheme="majorBidi"/>
      <w:b/>
      <w:bCs/>
      <w:i/>
      <w:iCs/>
      <w:color w:val="4F81BD" w:themeColor="accent1"/>
      <w:sz w:val="24"/>
      <w:szCs w:val="20"/>
    </w:rPr>
  </w:style>
  <w:style w:type="paragraph" w:customStyle="1" w:styleId="ParagraphBodyText1">
    <w:name w:val="Paragraph Body Text (1)"/>
    <w:basedOn w:val="Normal"/>
    <w:link w:val="ParagraphBodyText1CharChar"/>
    <w:rsid w:val="00BF0844"/>
    <w:pPr>
      <w:suppressAutoHyphens/>
      <w:spacing w:after="0" w:line="300" w:lineRule="exact"/>
      <w:jc w:val="both"/>
    </w:pPr>
    <w:rPr>
      <w:rFonts w:ascii="Times New Roman" w:eastAsia="Times New Roman" w:hAnsi="Times New Roman" w:cs="Times New Roman"/>
      <w:sz w:val="24"/>
      <w:lang w:eastAsia="ar-SA"/>
    </w:rPr>
  </w:style>
  <w:style w:type="character" w:customStyle="1" w:styleId="ParagraphBodyText1CharChar">
    <w:name w:val="Paragraph Body Text (1) Char Char"/>
    <w:basedOn w:val="DefaultParagraphFont"/>
    <w:link w:val="ParagraphBodyText1"/>
    <w:rsid w:val="00BF0844"/>
    <w:rPr>
      <w:rFonts w:ascii="Times New Roman" w:eastAsia="Times New Roman" w:hAnsi="Times New Roman" w:cs="Times New Roman"/>
      <w:sz w:val="24"/>
      <w:lang w:eastAsia="ar-SA"/>
    </w:rPr>
  </w:style>
  <w:style w:type="character" w:styleId="EndnoteReference">
    <w:name w:val="endnote reference"/>
    <w:basedOn w:val="DefaultParagraphFont"/>
    <w:uiPriority w:val="99"/>
    <w:unhideWhenUsed/>
    <w:rsid w:val="00BF0844"/>
    <w:rPr>
      <w:vertAlign w:val="superscript"/>
    </w:rPr>
  </w:style>
  <w:style w:type="paragraph" w:customStyle="1" w:styleId="FOOTNOTE">
    <w:name w:val="FOOTNOTE"/>
    <w:basedOn w:val="EndnoteText"/>
    <w:link w:val="FOOTNOTEChar"/>
    <w:qFormat/>
    <w:rsid w:val="00BF0844"/>
    <w:pPr>
      <w:tabs>
        <w:tab w:val="left" w:pos="340"/>
      </w:tabs>
      <w:ind w:left="340" w:hanging="340"/>
    </w:pPr>
    <w:rPr>
      <w:rFonts w:ascii="Century Gothic" w:eastAsiaTheme="minorEastAsia" w:hAnsi="Century Gothic"/>
      <w:sz w:val="16"/>
      <w:szCs w:val="16"/>
    </w:rPr>
  </w:style>
  <w:style w:type="character" w:customStyle="1" w:styleId="FOOTNOTEChar">
    <w:name w:val="FOOTNOTE Char"/>
    <w:basedOn w:val="EndnoteTextChar"/>
    <w:link w:val="FOOTNOTE"/>
    <w:rsid w:val="00BF0844"/>
    <w:rPr>
      <w:rFonts w:ascii="Century Gothic" w:eastAsiaTheme="minorEastAsia" w:hAnsi="Century Gothic" w:cs="Times New Roman"/>
      <w:sz w:val="16"/>
      <w:szCs w:val="16"/>
    </w:rPr>
  </w:style>
  <w:style w:type="paragraph" w:styleId="EndnoteText">
    <w:name w:val="endnote text"/>
    <w:basedOn w:val="Normal"/>
    <w:link w:val="EndnoteTextChar"/>
    <w:uiPriority w:val="99"/>
    <w:semiHidden/>
    <w:unhideWhenUsed/>
    <w:rsid w:val="00BF0844"/>
    <w:pPr>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F0844"/>
    <w:rPr>
      <w:rFonts w:ascii="Times New Roman" w:eastAsia="Times New Roman" w:hAnsi="Times New Roman" w:cs="Times New Roman"/>
      <w:sz w:val="24"/>
      <w:szCs w:val="24"/>
    </w:rPr>
  </w:style>
  <w:style w:type="paragraph" w:customStyle="1" w:styleId="ItisinternationalcomparisonthatdemonstrateswhatisachievableintherealworldisnotitisinternationalcomparisonofthehighlightsofeachindividualcountriesstrengthsandweaknessesItisinternationalcomparisonthatdemonstratesthatth">
    <w:name w:val="It is international comparison that demonstrates what is achievable in the real world is not it is international comparison of the highlights of each individual countries strengths and weaknesses. It is international comparison that demonstrates that th"/>
    <w:basedOn w:val="Normal"/>
    <w:rsid w:val="00BF0844"/>
    <w:pPr>
      <w:spacing w:after="120"/>
    </w:pPr>
    <w:rPr>
      <w:rFonts w:ascii="Century Gothic" w:hAnsi="Century Gothic"/>
      <w:sz w:val="20"/>
    </w:rPr>
  </w:style>
  <w:style w:type="paragraph" w:customStyle="1" w:styleId="mainfindings">
    <w:name w:val="main findings"/>
    <w:basedOn w:val="Heading4"/>
    <w:link w:val="mainfindingsChar"/>
    <w:qFormat/>
    <w:rsid w:val="00BF0844"/>
    <w:pPr>
      <w:keepLines w:val="0"/>
      <w:spacing w:before="240" w:after="120" w:line="276" w:lineRule="auto"/>
      <w:jc w:val="center"/>
    </w:pPr>
    <w:rPr>
      <w:rFonts w:ascii="Century Gothic" w:hAnsi="Century Gothic"/>
      <w:b w:val="0"/>
      <w:bCs w:val="0"/>
      <w:iCs w:val="0"/>
      <w:color w:val="365F91" w:themeColor="accent1" w:themeShade="BF"/>
      <w:spacing w:val="10"/>
      <w:sz w:val="20"/>
    </w:rPr>
  </w:style>
  <w:style w:type="character" w:customStyle="1" w:styleId="mainfindingsChar">
    <w:name w:val="main findings Char"/>
    <w:basedOn w:val="Heading4Char"/>
    <w:link w:val="mainfindings"/>
    <w:rsid w:val="00BF0844"/>
    <w:rPr>
      <w:rFonts w:ascii="Century Gothic" w:eastAsiaTheme="majorEastAsia" w:hAnsi="Century Gothic" w:cstheme="majorBidi"/>
      <w:b w:val="0"/>
      <w:bCs w:val="0"/>
      <w:i/>
      <w:iCs w:val="0"/>
      <w:color w:val="365F91" w:themeColor="accent1" w:themeShade="BF"/>
      <w:spacing w:val="10"/>
      <w:sz w:val="20"/>
      <w:szCs w:val="20"/>
    </w:rPr>
  </w:style>
  <w:style w:type="character" w:customStyle="1" w:styleId="StyleEndnoteReferenceItalic">
    <w:name w:val="Style Endnote Reference + Italic"/>
    <w:basedOn w:val="EndnoteReference"/>
    <w:rsid w:val="00BF0844"/>
    <w:rPr>
      <w:rFonts w:ascii="Century Gothic" w:hAnsi="Century Gothic" w:hint="default"/>
      <w:i/>
      <w:iCs/>
      <w:vertAlign w:val="superscript"/>
    </w:rPr>
  </w:style>
  <w:style w:type="table" w:styleId="TableGrid">
    <w:name w:val="Table Grid"/>
    <w:basedOn w:val="TableNormal"/>
    <w:uiPriority w:val="59"/>
    <w:rsid w:val="00E8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2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731"/>
    <w:rPr>
      <w:sz w:val="20"/>
      <w:szCs w:val="20"/>
    </w:rPr>
  </w:style>
  <w:style w:type="character" w:styleId="FootnoteReference">
    <w:name w:val="footnote reference"/>
    <w:basedOn w:val="DefaultParagraphFont"/>
    <w:uiPriority w:val="99"/>
    <w:semiHidden/>
    <w:unhideWhenUsed/>
    <w:rsid w:val="002B2731"/>
    <w:rPr>
      <w:vertAlign w:val="superscript"/>
    </w:rPr>
  </w:style>
  <w:style w:type="character" w:styleId="Strong">
    <w:name w:val="Strong"/>
    <w:basedOn w:val="DefaultParagraphFont"/>
    <w:uiPriority w:val="22"/>
    <w:qFormat/>
    <w:rsid w:val="00460A61"/>
    <w:rPr>
      <w:b/>
      <w:bCs/>
    </w:rPr>
  </w:style>
  <w:style w:type="character" w:styleId="Emphasis">
    <w:name w:val="Emphasis"/>
    <w:basedOn w:val="DefaultParagraphFont"/>
    <w:uiPriority w:val="20"/>
    <w:qFormat/>
    <w:rsid w:val="00460A61"/>
    <w:rPr>
      <w:i/>
      <w:iCs/>
    </w:rPr>
  </w:style>
  <w:style w:type="paragraph" w:styleId="Header">
    <w:name w:val="header"/>
    <w:basedOn w:val="Normal"/>
    <w:link w:val="HeaderChar"/>
    <w:uiPriority w:val="99"/>
    <w:unhideWhenUsed/>
    <w:rsid w:val="00E57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FF6"/>
  </w:style>
  <w:style w:type="paragraph" w:styleId="Footer">
    <w:name w:val="footer"/>
    <w:basedOn w:val="Normal"/>
    <w:link w:val="FooterChar"/>
    <w:uiPriority w:val="99"/>
    <w:unhideWhenUsed/>
    <w:rsid w:val="00E5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FF6"/>
  </w:style>
  <w:style w:type="paragraph" w:styleId="Revision">
    <w:name w:val="Revision"/>
    <w:hidden/>
    <w:uiPriority w:val="99"/>
    <w:semiHidden/>
    <w:rsid w:val="008E0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8756">
      <w:bodyDiv w:val="1"/>
      <w:marLeft w:val="0"/>
      <w:marRight w:val="0"/>
      <w:marTop w:val="0"/>
      <w:marBottom w:val="0"/>
      <w:divBdr>
        <w:top w:val="none" w:sz="0" w:space="0" w:color="auto"/>
        <w:left w:val="none" w:sz="0" w:space="0" w:color="auto"/>
        <w:bottom w:val="none" w:sz="0" w:space="0" w:color="auto"/>
        <w:right w:val="none" w:sz="0" w:space="0" w:color="auto"/>
      </w:divBdr>
    </w:div>
    <w:div w:id="555163513">
      <w:bodyDiv w:val="1"/>
      <w:marLeft w:val="0"/>
      <w:marRight w:val="0"/>
      <w:marTop w:val="0"/>
      <w:marBottom w:val="0"/>
      <w:divBdr>
        <w:top w:val="none" w:sz="0" w:space="0" w:color="auto"/>
        <w:left w:val="none" w:sz="0" w:space="0" w:color="auto"/>
        <w:bottom w:val="none" w:sz="0" w:space="0" w:color="auto"/>
        <w:right w:val="none" w:sz="0" w:space="0" w:color="auto"/>
      </w:divBdr>
    </w:div>
    <w:div w:id="1054743640">
      <w:bodyDiv w:val="1"/>
      <w:marLeft w:val="0"/>
      <w:marRight w:val="0"/>
      <w:marTop w:val="0"/>
      <w:marBottom w:val="0"/>
      <w:divBdr>
        <w:top w:val="none" w:sz="0" w:space="0" w:color="auto"/>
        <w:left w:val="none" w:sz="0" w:space="0" w:color="auto"/>
        <w:bottom w:val="none" w:sz="0" w:space="0" w:color="auto"/>
        <w:right w:val="none" w:sz="0" w:space="0" w:color="auto"/>
      </w:divBdr>
    </w:div>
    <w:div w:id="1191802996">
      <w:bodyDiv w:val="1"/>
      <w:marLeft w:val="0"/>
      <w:marRight w:val="0"/>
      <w:marTop w:val="0"/>
      <w:marBottom w:val="0"/>
      <w:divBdr>
        <w:top w:val="none" w:sz="0" w:space="0" w:color="auto"/>
        <w:left w:val="none" w:sz="0" w:space="0" w:color="auto"/>
        <w:bottom w:val="none" w:sz="0" w:space="0" w:color="auto"/>
        <w:right w:val="none" w:sz="0" w:space="0" w:color="auto"/>
      </w:divBdr>
    </w:div>
    <w:div w:id="17935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ef-ir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9156BE3686344A8DEF429BE95C146" ma:contentTypeVersion="1" ma:contentTypeDescription="Create a new document." ma:contentTypeScope="" ma:versionID="7a395799be3195903e080467e5e36777">
  <xsd:schema xmlns:xsd="http://www.w3.org/2001/XMLSchema" xmlns:xs="http://www.w3.org/2001/XMLSchema" xmlns:p="http://schemas.microsoft.com/office/2006/metadata/properties" xmlns:ns3="48ab107b-ed0f-4863-b41a-cb0e4a89179b" targetNamespace="http://schemas.microsoft.com/office/2006/metadata/properties" ma:root="true" ma:fieldsID="10e235d05df0362dfe41c4d896a98a98" ns3:_="">
    <xsd:import namespace="48ab107b-ed0f-4863-b41a-cb0e4a89179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b107b-ed0f-4863-b41a-cb0e4a8917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7762-EB1B-49DC-9069-799882650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b107b-ed0f-4863-b41a-cb0e4a891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E7CB0-E0F4-481E-8713-C4838608C2AB}">
  <ds:schemaRefs>
    <ds:schemaRef ds:uri="http://purl.org/dc/elements/1.1/"/>
    <ds:schemaRef ds:uri="http://schemas.microsoft.com/office/2006/metadata/properties"/>
    <ds:schemaRef ds:uri="48ab107b-ed0f-4863-b41a-cb0e4a89179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A2F3D2C-4687-4AC4-BDD5-4DAFE3BFD85C}">
  <ds:schemaRefs>
    <ds:schemaRef ds:uri="http://schemas.microsoft.com/sharepoint/v3/contenttype/forms"/>
  </ds:schemaRefs>
</ds:datastoreItem>
</file>

<file path=customXml/itemProps4.xml><?xml version="1.0" encoding="utf-8"?>
<ds:datastoreItem xmlns:ds="http://schemas.openxmlformats.org/officeDocument/2006/customXml" ds:itemID="{BC389D82-1471-4322-92E6-C80CE4F6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4185</Words>
  <Characters>23859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rpires</dc:creator>
  <cp:keywords/>
  <dc:description/>
  <cp:lastModifiedBy>Patrizia Faustini</cp:lastModifiedBy>
  <cp:revision>2</cp:revision>
  <cp:lastPrinted>2016-02-24T13:07:00Z</cp:lastPrinted>
  <dcterms:created xsi:type="dcterms:W3CDTF">2016-04-13T12:25:00Z</dcterms:created>
  <dcterms:modified xsi:type="dcterms:W3CDTF">2016-04-13T12:25:00Z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0x0101001339156BE3686344A8DEF429BE95C146</vt:lpwstr>
  </property>
  <property fmtid="{D5CDD505-2E9C-101B-9397-08002B2CF9AE}" pid="3" name="IsMyDocuments">
    <vt:bool>true</vt:bool>
  </property>
</Properties>
</file>